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snapToGrid w:val="0"/>
        <w:spacing w:before="72" w:beforeLines="30" w:after="72" w:afterLines="30" w:line="288" w:lineRule="auto"/>
        <w:rPr>
          <w:rFonts w:eastAsia="宋体"/>
          <w:color w:val="000000" w:themeColor="text1"/>
          <w:sz w:val="22"/>
          <w:lang w:eastAsia="zh-CN"/>
          <w14:textFill>
            <w14:solidFill>
              <w14:schemeClr w14:val="tx1"/>
            </w14:solidFill>
          </w14:textFill>
        </w:rPr>
      </w:pPr>
      <w:r>
        <w:rPr>
          <w:color w:val="000000" w:themeColor="text1"/>
          <w:sz w:val="22"/>
          <w14:textFill>
            <w14:solidFill>
              <w14:schemeClr w14:val="tx1"/>
            </w14:solidFill>
          </w14:textFill>
        </w:rPr>
        <w:t>3GPP TSG RAN WG1 Meeting #12</w:t>
      </w:r>
      <w:r>
        <w:rPr>
          <w:rFonts w:hint="eastAsia" w:eastAsia="宋体"/>
          <w:color w:val="000000" w:themeColor="text1"/>
          <w:sz w:val="22"/>
          <w:lang w:val="en-US" w:eastAsia="zh-CN"/>
          <w14:textFill>
            <w14:solidFill>
              <w14:schemeClr w14:val="tx1"/>
            </w14:solidFill>
          </w14:textFill>
        </w:rPr>
        <w:t>1</w:t>
      </w:r>
      <w:r>
        <w:rPr>
          <w:rFonts w:ascii="Times New Roman" w:hAnsi="Times New Roman"/>
          <w:color w:val="000000" w:themeColor="text1"/>
          <w:sz w:val="22"/>
          <w14:textFill>
            <w14:solidFill>
              <w14:schemeClr w14:val="tx1"/>
            </w14:solidFill>
          </w14:textFill>
        </w:rPr>
        <w:tab/>
      </w:r>
      <w:r>
        <w:rPr>
          <w:rFonts w:hint="eastAsia" w:eastAsia="宋体"/>
          <w:color w:val="000000" w:themeColor="text1"/>
          <w:sz w:val="22"/>
          <w:lang w:eastAsia="zh-CN"/>
          <w14:textFill>
            <w14:solidFill>
              <w14:schemeClr w14:val="tx1"/>
            </w14:solidFill>
          </w14:textFill>
        </w:rPr>
        <w:t>R1-2503651</w:t>
      </w:r>
    </w:p>
    <w:p>
      <w:pPr>
        <w:snapToGrid w:val="0"/>
        <w:spacing w:before="72" w:beforeLines="30" w:after="72" w:afterLines="30" w:line="288" w:lineRule="auto"/>
        <w:rPr>
          <w:rFonts w:ascii="Arial" w:hAnsi="Arial"/>
          <w:b/>
          <w:color w:val="000000" w:themeColor="text1"/>
          <w:sz w:val="22"/>
          <w:lang w:eastAsia="ja-JP"/>
          <w14:textFill>
            <w14:solidFill>
              <w14:schemeClr w14:val="tx1"/>
            </w14:solidFill>
          </w14:textFill>
        </w:rPr>
      </w:pPr>
      <w:r>
        <w:rPr>
          <w:rFonts w:hint="eastAsia" w:ascii="Arial" w:hAnsi="Arial"/>
          <w:b/>
          <w:color w:val="000000" w:themeColor="text1"/>
          <w:sz w:val="22"/>
          <w:lang w:eastAsia="ja-JP"/>
          <w14:textFill>
            <w14:solidFill>
              <w14:schemeClr w14:val="tx1"/>
            </w14:solidFill>
          </w14:textFill>
        </w:rPr>
        <w:t>St Julian’s, Malta, May 19</w:t>
      </w:r>
      <w:r>
        <w:rPr>
          <w:rFonts w:hint="eastAsia" w:ascii="Arial" w:hAnsi="Arial"/>
          <w:b/>
          <w:color w:val="000000" w:themeColor="text1"/>
          <w:sz w:val="22"/>
          <w:szCs w:val="22"/>
          <w:vertAlign w:val="superscript"/>
          <w:lang w:eastAsia="ja-JP"/>
          <w14:textFill>
            <w14:solidFill>
              <w14:schemeClr w14:val="tx1"/>
            </w14:solidFill>
          </w14:textFill>
        </w:rPr>
        <w:t>th</w:t>
      </w:r>
      <w:r>
        <w:rPr>
          <w:rFonts w:hint="eastAsia" w:ascii="Arial" w:hAnsi="Arial"/>
          <w:b/>
          <w:color w:val="000000" w:themeColor="text1"/>
          <w:sz w:val="22"/>
          <w:lang w:eastAsia="ja-JP"/>
          <w14:textFill>
            <w14:solidFill>
              <w14:schemeClr w14:val="tx1"/>
            </w14:solidFill>
          </w14:textFill>
        </w:rPr>
        <w:t xml:space="preserve"> – 23</w:t>
      </w:r>
      <w:r>
        <w:rPr>
          <w:rFonts w:hint="eastAsia" w:ascii="Arial" w:hAnsi="Arial"/>
          <w:b/>
          <w:color w:val="000000" w:themeColor="text1"/>
          <w:sz w:val="22"/>
          <w:vertAlign w:val="superscript"/>
          <w:lang w:eastAsia="ja-JP"/>
          <w14:textFill>
            <w14:solidFill>
              <w14:schemeClr w14:val="tx1"/>
            </w14:solidFill>
          </w14:textFill>
        </w:rPr>
        <w:t>th</w:t>
      </w:r>
      <w:r>
        <w:rPr>
          <w:rFonts w:hint="eastAsia" w:ascii="Arial" w:hAnsi="Arial"/>
          <w:b/>
          <w:color w:val="000000" w:themeColor="text1"/>
          <w:sz w:val="22"/>
          <w:lang w:eastAsia="ja-JP"/>
          <w14:textFill>
            <w14:solidFill>
              <w14:schemeClr w14:val="tx1"/>
            </w14:solidFill>
          </w14:textFill>
        </w:rPr>
        <w:t>, 2025</w:t>
      </w:r>
    </w:p>
    <w:p>
      <w:pPr>
        <w:snapToGrid w:val="0"/>
        <w:spacing w:before="72" w:beforeLines="30" w:after="72" w:afterLines="30" w:line="288" w:lineRule="auto"/>
        <w:rPr>
          <w:rFonts w:ascii="Arial" w:hAnsi="Arial"/>
          <w:b/>
          <w:color w:val="000000" w:themeColor="text1"/>
          <w:sz w:val="22"/>
          <w:lang w:eastAsia="ja-JP"/>
          <w14:textFill>
            <w14:solidFill>
              <w14:schemeClr w14:val="tx1"/>
            </w14:solidFill>
          </w14:textFill>
        </w:rPr>
      </w:pPr>
    </w:p>
    <w:p>
      <w:pPr>
        <w:pStyle w:val="19"/>
        <w:tabs>
          <w:tab w:val="left" w:pos="1805"/>
          <w:tab w:val="clear" w:pos="4536"/>
        </w:tabs>
        <w:snapToGrid w:val="0"/>
        <w:spacing w:before="72" w:beforeLines="30" w:after="72" w:afterLines="30" w:line="288" w:lineRule="auto"/>
        <w:ind w:left="1803" w:hanging="1803"/>
        <w:rPr>
          <w:rFonts w:ascii="Times New Roman" w:hAnsi="Times New Roman"/>
          <w:color w:val="000000" w:themeColor="text1"/>
          <w:sz w:val="22"/>
          <w14:textFill>
            <w14:solidFill>
              <w14:schemeClr w14:val="tx1"/>
            </w14:solidFill>
          </w14:textFill>
        </w:rPr>
      </w:pPr>
      <w:r>
        <w:rPr>
          <w:color w:val="000000" w:themeColor="text1"/>
          <w:sz w:val="22"/>
          <w14:textFill>
            <w14:solidFill>
              <w14:schemeClr w14:val="tx1"/>
            </w14:solidFill>
          </w14:textFill>
        </w:rPr>
        <w:t>Source:</w:t>
      </w:r>
      <w:r>
        <w:rPr>
          <w:rFonts w:ascii="Times New Roman" w:hAnsi="Times New Roman"/>
          <w:color w:val="000000" w:themeColor="text1"/>
          <w:sz w:val="22"/>
          <w14:textFill>
            <w14:solidFill>
              <w14:schemeClr w14:val="tx1"/>
            </w14:solidFill>
          </w14:textFill>
        </w:rPr>
        <w:tab/>
      </w:r>
      <w:r>
        <w:rPr>
          <w:color w:val="000000" w:themeColor="text1"/>
          <w:sz w:val="22"/>
          <w14:textFill>
            <w14:solidFill>
              <w14:schemeClr w14:val="tx1"/>
            </w14:solidFill>
          </w14:textFill>
        </w:rPr>
        <w:t>ZTE Corporation, Sanechips</w:t>
      </w:r>
    </w:p>
    <w:p>
      <w:pPr>
        <w:pStyle w:val="19"/>
        <w:tabs>
          <w:tab w:val="left" w:pos="1800"/>
        </w:tabs>
        <w:snapToGrid w:val="0"/>
        <w:spacing w:before="72" w:beforeLines="30" w:after="72" w:afterLines="30" w:line="288" w:lineRule="auto"/>
        <w:ind w:left="1833" w:hanging="1833" w:hangingChars="833"/>
        <w:rPr>
          <w:rFonts w:ascii="Times New Roman" w:hAnsi="Times New Roman"/>
          <w:color w:val="000000" w:themeColor="text1"/>
          <w:sz w:val="22"/>
          <w14:textFill>
            <w14:solidFill>
              <w14:schemeClr w14:val="tx1"/>
            </w14:solidFill>
          </w14:textFill>
        </w:rPr>
      </w:pPr>
      <w:r>
        <w:rPr>
          <w:color w:val="000000" w:themeColor="text1"/>
          <w:sz w:val="22"/>
          <w14:textFill>
            <w14:solidFill>
              <w14:schemeClr w14:val="tx1"/>
            </w14:solidFill>
          </w14:textFill>
        </w:rPr>
        <w:t>Title:</w:t>
      </w:r>
      <w:r>
        <w:rPr>
          <w:rFonts w:ascii="Times New Roman" w:hAnsi="Times New Roman"/>
          <w:color w:val="000000" w:themeColor="text1"/>
          <w:sz w:val="22"/>
          <w14:textFill>
            <w14:solidFill>
              <w14:schemeClr w14:val="tx1"/>
            </w14:solidFill>
          </w14:textFill>
        </w:rPr>
        <w:tab/>
      </w:r>
      <w:r>
        <w:rPr>
          <w:color w:val="000000" w:themeColor="text1"/>
          <w:sz w:val="22"/>
          <w14:textFill>
            <w14:solidFill>
              <w14:schemeClr w14:val="tx1"/>
            </w14:solidFill>
          </w14:textFill>
        </w:rPr>
        <w:t>Discussion on study for AI/ML CSI compression</w:t>
      </w:r>
    </w:p>
    <w:p>
      <w:pPr>
        <w:pStyle w:val="19"/>
        <w:tabs>
          <w:tab w:val="left" w:pos="1800"/>
        </w:tabs>
        <w:snapToGrid w:val="0"/>
        <w:spacing w:before="72" w:beforeLines="30" w:after="72" w:afterLines="30" w:line="288" w:lineRule="auto"/>
        <w:rPr>
          <w:rFonts w:ascii="Times New Roman" w:hAnsi="Times New Roman"/>
          <w:color w:val="000000" w:themeColor="text1"/>
          <w:sz w:val="22"/>
          <w14:textFill>
            <w14:solidFill>
              <w14:schemeClr w14:val="tx1"/>
            </w14:solidFill>
          </w14:textFill>
        </w:rPr>
      </w:pPr>
      <w:r>
        <w:rPr>
          <w:color w:val="000000" w:themeColor="text1"/>
          <w:sz w:val="22"/>
          <w14:textFill>
            <w14:solidFill>
              <w14:schemeClr w14:val="tx1"/>
            </w14:solidFill>
          </w14:textFill>
        </w:rPr>
        <w:t>Agenda Item:</w:t>
      </w:r>
      <w:r>
        <w:rPr>
          <w:rFonts w:ascii="Times New Roman" w:hAnsi="Times New Roman"/>
          <w:color w:val="000000" w:themeColor="text1"/>
          <w:sz w:val="22"/>
          <w14:textFill>
            <w14:solidFill>
              <w14:schemeClr w14:val="tx1"/>
            </w14:solidFill>
          </w14:textFill>
        </w:rPr>
        <w:tab/>
      </w:r>
      <w:r>
        <w:rPr>
          <w:rFonts w:eastAsia="宋体"/>
          <w:color w:val="000000" w:themeColor="text1"/>
          <w:sz w:val="22"/>
          <w:lang w:eastAsia="zh-CN"/>
          <w14:textFill>
            <w14:solidFill>
              <w14:schemeClr w14:val="tx1"/>
            </w14:solidFill>
          </w14:textFill>
        </w:rPr>
        <w:t>9.1.</w:t>
      </w:r>
      <w:r>
        <w:rPr>
          <w:rFonts w:hint="eastAsia" w:eastAsia="宋体"/>
          <w:color w:val="000000" w:themeColor="text1"/>
          <w:sz w:val="22"/>
          <w:lang w:eastAsia="zh-CN"/>
          <w14:textFill>
            <w14:solidFill>
              <w14:schemeClr w14:val="tx1"/>
            </w14:solidFill>
          </w14:textFill>
        </w:rPr>
        <w:t>4</w:t>
      </w:r>
      <w:r>
        <w:rPr>
          <w:rFonts w:eastAsia="宋体"/>
          <w:color w:val="000000" w:themeColor="text1"/>
          <w:sz w:val="22"/>
          <w:lang w:eastAsia="zh-CN"/>
          <w14:textFill>
            <w14:solidFill>
              <w14:schemeClr w14:val="tx1"/>
            </w14:solidFill>
          </w14:textFill>
        </w:rPr>
        <w:t>.</w:t>
      </w:r>
      <w:r>
        <w:rPr>
          <w:rFonts w:hint="eastAsia" w:eastAsia="宋体"/>
          <w:color w:val="000000" w:themeColor="text1"/>
          <w:sz w:val="22"/>
          <w:lang w:eastAsia="zh-CN"/>
          <w14:textFill>
            <w14:solidFill>
              <w14:schemeClr w14:val="tx1"/>
            </w14:solidFill>
          </w14:textFill>
        </w:rPr>
        <w:t>1</w:t>
      </w:r>
    </w:p>
    <w:p>
      <w:pPr>
        <w:pBdr>
          <w:bottom w:val="single" w:color="auto" w:sz="6" w:space="1"/>
        </w:pBdr>
        <w:snapToGrid w:val="0"/>
        <w:spacing w:before="72" w:beforeLines="30" w:after="72" w:afterLines="30" w:line="288" w:lineRule="auto"/>
        <w:ind w:left="1800" w:hanging="1800"/>
        <w:rPr>
          <w:b/>
          <w:color w:val="000000" w:themeColor="text1"/>
          <w:sz w:val="22"/>
          <w14:textFill>
            <w14:solidFill>
              <w14:schemeClr w14:val="tx1"/>
            </w14:solidFill>
          </w14:textFill>
        </w:rPr>
      </w:pPr>
      <w:r>
        <w:rPr>
          <w:rFonts w:ascii="Arial" w:hAnsi="Arial"/>
          <w:b/>
          <w:color w:val="000000" w:themeColor="text1"/>
          <w:sz w:val="22"/>
          <w14:textFill>
            <w14:solidFill>
              <w14:schemeClr w14:val="tx1"/>
            </w14:solidFill>
          </w14:textFill>
        </w:rPr>
        <w:t>Document for:</w:t>
      </w:r>
      <w:r>
        <w:rPr>
          <w:b/>
          <w:color w:val="000000" w:themeColor="text1"/>
          <w:sz w:val="22"/>
          <w14:textFill>
            <w14:solidFill>
              <w14:schemeClr w14:val="tx1"/>
            </w14:solidFill>
          </w14:textFill>
        </w:rPr>
        <w:tab/>
      </w:r>
      <w:r>
        <w:rPr>
          <w:rFonts w:ascii="Arial" w:hAnsi="Arial"/>
          <w:b/>
          <w:color w:val="000000" w:themeColor="text1"/>
          <w:sz w:val="22"/>
          <w14:textFill>
            <w14:solidFill>
              <w14:schemeClr w14:val="tx1"/>
            </w14:solidFill>
          </w14:textFill>
        </w:rPr>
        <w:t>Discussion and Decision</w:t>
      </w:r>
    </w:p>
    <w:p>
      <w:pPr>
        <w:numPr>
          <w:ilvl w:val="0"/>
          <w:numId w:val="10"/>
        </w:numPr>
        <w:snapToGrid w:val="0"/>
        <w:spacing w:before="72" w:beforeLines="30" w:after="72" w:afterLines="30" w:line="288" w:lineRule="auto"/>
        <w:jc w:val="both"/>
        <w:outlineLvl w:val="0"/>
        <w:rPr>
          <w:b/>
          <w:color w:val="000000" w:themeColor="text1"/>
          <w:sz w:val="28"/>
          <w14:textFill>
            <w14:solidFill>
              <w14:schemeClr w14:val="tx1"/>
            </w14:solidFill>
          </w14:textFill>
        </w:rPr>
      </w:pPr>
      <w:bookmarkStart w:id="0" w:name="_Hlk157855303"/>
      <w:r>
        <w:rPr>
          <w:b/>
          <w:color w:val="000000" w:themeColor="text1"/>
          <w:sz w:val="28"/>
          <w14:textFill>
            <w14:solidFill>
              <w14:schemeClr w14:val="tx1"/>
            </w14:solidFill>
          </w14:textFill>
        </w:rPr>
        <w:t>Introduction</w:t>
      </w:r>
    </w:p>
    <w:p>
      <w:pPr>
        <w:snapToGrid w:val="0"/>
        <w:spacing w:before="72" w:beforeLines="30" w:after="72" w:afterLines="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In RAN#105 meeting</w:t>
      </w:r>
      <w:r>
        <w:rPr>
          <w:rFonts w:eastAsiaTheme="minorEastAsia"/>
          <w:color w:val="000000" w:themeColor="text1"/>
          <w:vertAlign w:val="superscript"/>
          <w14:textFill>
            <w14:solidFill>
              <w14:schemeClr w14:val="tx1"/>
            </w14:solidFill>
          </w14:textFill>
        </w:rPr>
        <w:t>[1]</w:t>
      </w:r>
      <w:r>
        <w:rPr>
          <w:rFonts w:eastAsiaTheme="minorEastAsia"/>
          <w:color w:val="000000" w:themeColor="text1"/>
          <w14:textFill>
            <w14:solidFill>
              <w14:schemeClr w14:val="tx1"/>
            </w14:solidFill>
          </w14:textFill>
        </w:rPr>
        <w:t xml:space="preserve">, a revised WID on AI/ML for air interface was approved. The following study objectives related to AI/ML CSI </w:t>
      </w:r>
      <w:r>
        <w:rPr>
          <w:rFonts w:hint="eastAsia" w:eastAsiaTheme="minorEastAsia"/>
          <w:color w:val="000000" w:themeColor="text1"/>
          <w14:textFill>
            <w14:solidFill>
              <w14:schemeClr w14:val="tx1"/>
            </w14:solidFill>
          </w14:textFill>
        </w:rPr>
        <w:t xml:space="preserve">feedback enhancement </w:t>
      </w:r>
      <w:r>
        <w:rPr>
          <w:rFonts w:eastAsiaTheme="minorEastAsia"/>
          <w:color w:val="000000" w:themeColor="text1"/>
          <w14:textFill>
            <w14:solidFill>
              <w14:schemeClr w14:val="tx1"/>
            </w14:solidFill>
          </w14:textFill>
        </w:rPr>
        <w:t xml:space="preserve">were included in the WID.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72" w:beforeLines="30" w:after="72" w:afterLines="30" w:line="288" w:lineRule="auto"/>
              <w:rPr>
                <w:bCs/>
                <w:color w:val="000000" w:themeColor="text1"/>
                <w14:textFill>
                  <w14:solidFill>
                    <w14:schemeClr w14:val="tx1"/>
                  </w14:solidFill>
                </w14:textFill>
              </w:rPr>
            </w:pPr>
            <w:r>
              <w:rPr>
                <w:bCs/>
                <w:color w:val="000000" w:themeColor="text1"/>
                <w14:textFill>
                  <w14:solidFill>
                    <w14:schemeClr w14:val="tx1"/>
                  </w14:solidFill>
                </w14:textFill>
              </w:rPr>
              <w:t>Study objectives:</w:t>
            </w:r>
          </w:p>
          <w:p>
            <w:pPr>
              <w:numPr>
                <w:ilvl w:val="0"/>
                <w:numId w:val="11"/>
              </w:numPr>
              <w:overflowPunct w:val="0"/>
              <w:autoSpaceDE w:val="0"/>
              <w:autoSpaceDN w:val="0"/>
              <w:adjustRightInd w:val="0"/>
              <w:snapToGrid w:val="0"/>
              <w:spacing w:before="72" w:beforeLines="30" w:after="72" w:afterLines="30" w:line="288" w:lineRule="auto"/>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 xml:space="preserve">CSI feedback enhancement [RAN1]: </w:t>
            </w:r>
          </w:p>
          <w:p>
            <w:pPr>
              <w:numPr>
                <w:ilvl w:val="1"/>
                <w:numId w:val="11"/>
              </w:numPr>
              <w:overflowPunct w:val="0"/>
              <w:autoSpaceDE w:val="0"/>
              <w:autoSpaceDN w:val="0"/>
              <w:adjustRightInd w:val="0"/>
              <w:snapToGrid w:val="0"/>
              <w:spacing w:before="72" w:beforeLines="30" w:after="72" w:afterLines="30" w:line="288" w:lineRule="auto"/>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For CSI compression (two-sided model), further study ways to:</w:t>
            </w:r>
          </w:p>
          <w:p>
            <w:pPr>
              <w:numPr>
                <w:ilvl w:val="2"/>
                <w:numId w:val="11"/>
              </w:numPr>
              <w:overflowPunct w:val="0"/>
              <w:autoSpaceDE w:val="0"/>
              <w:autoSpaceDN w:val="0"/>
              <w:adjustRightInd w:val="0"/>
              <w:snapToGrid w:val="0"/>
              <w:spacing w:before="72" w:beforeLines="30" w:after="72" w:afterLines="30" w:line="288" w:lineRule="auto"/>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Improve trade-off between performance and complexity/overhead</w:t>
            </w:r>
          </w:p>
          <w:p>
            <w:pPr>
              <w:numPr>
                <w:ilvl w:val="3"/>
                <w:numId w:val="11"/>
              </w:numPr>
              <w:overflowPunct w:val="0"/>
              <w:autoSpaceDE w:val="0"/>
              <w:autoSpaceDN w:val="0"/>
              <w:adjustRightInd w:val="0"/>
              <w:snapToGrid w:val="0"/>
              <w:spacing w:before="72" w:beforeLines="30" w:after="72" w:afterLines="30" w:line="288" w:lineRule="auto"/>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e.g., considering extending the spatial/frequency compression to spatial/temporal/frequency compression, cell/site specific models, CSI compression plus prediction (compared to Rel-18 non-AI/ML based approach), etc.</w:t>
            </w:r>
          </w:p>
          <w:p>
            <w:pPr>
              <w:numPr>
                <w:ilvl w:val="2"/>
                <w:numId w:val="11"/>
              </w:numPr>
              <w:overflowPunct w:val="0"/>
              <w:autoSpaceDE w:val="0"/>
              <w:autoSpaceDN w:val="0"/>
              <w:adjustRightInd w:val="0"/>
              <w:snapToGrid w:val="0"/>
              <w:spacing w:before="72" w:beforeLines="30" w:after="72" w:afterLines="30" w:line="288" w:lineRule="auto"/>
              <w:textAlignment w:val="baseline"/>
              <w:rPr>
                <w:bCs/>
                <w:color w:val="000000" w:themeColor="text1"/>
                <w14:textFill>
                  <w14:solidFill>
                    <w14:schemeClr w14:val="tx1"/>
                  </w14:solidFill>
                </w14:textFill>
              </w:rPr>
            </w:pPr>
            <w:r>
              <w:rPr>
                <w:bCs/>
                <w:color w:val="000000" w:themeColor="text1"/>
                <w14:textFill>
                  <w14:solidFill>
                    <w14:schemeClr w14:val="tx1"/>
                  </w14:solidFill>
                </w14:textFill>
              </w:rPr>
              <w:t>Alleviate/resolve issues related to inter-vendor training collaboration.</w:t>
            </w:r>
          </w:p>
          <w:p>
            <w:pPr>
              <w:snapToGrid w:val="0"/>
              <w:spacing w:before="72" w:beforeLines="30" w:after="72" w:afterLines="30" w:line="288" w:lineRule="auto"/>
              <w:ind w:left="1440"/>
              <w:rPr>
                <w:bCs/>
                <w:color w:val="000000" w:themeColor="text1"/>
                <w14:textFill>
                  <w14:solidFill>
                    <w14:schemeClr w14:val="tx1"/>
                  </w14:solidFill>
                </w14:textFill>
              </w:rPr>
            </w:pPr>
            <w:r>
              <w:rPr>
                <w:bCs/>
                <w:color w:val="000000" w:themeColor="text1"/>
                <w14:textFill>
                  <w14:solidFill>
                    <w14:schemeClr w14:val="tx1"/>
                  </w14:solidFill>
                </w14:textFill>
              </w:rPr>
              <w:t xml:space="preserve">while addressing necessary specification impact analysis, as well as, other aspects requiring further study/conclusion as captured in the conclusions section of the TR 38.843. </w:t>
            </w:r>
          </w:p>
          <w:p>
            <w:pPr>
              <w:overflowPunct w:val="0"/>
              <w:autoSpaceDE w:val="0"/>
              <w:autoSpaceDN w:val="0"/>
              <w:adjustRightInd w:val="0"/>
              <w:snapToGrid w:val="0"/>
              <w:spacing w:before="72" w:beforeLines="30" w:after="72" w:afterLines="30" w:line="288" w:lineRule="auto"/>
              <w:ind w:left="720"/>
              <w:jc w:val="center"/>
              <w:textAlignment w:val="baseline"/>
              <w:rPr>
                <w:rFonts w:eastAsiaTheme="minorEastAsia"/>
                <w:bCs/>
                <w:color w:val="000000" w:themeColor="text1"/>
                <w14:textFill>
                  <w14:solidFill>
                    <w14:schemeClr w14:val="tx1"/>
                  </w14:solidFill>
                </w14:textFill>
              </w:rPr>
            </w:pPr>
            <w:r>
              <w:rPr>
                <w:bCs/>
                <w:color w:val="000000" w:themeColor="text1"/>
                <w14:textFill>
                  <w14:solidFill>
                    <w14:schemeClr w14:val="tx1"/>
                  </w14:solidFill>
                </w14:textFill>
              </w:rPr>
              <w:t>-------------- CSI prediction parts are omitted --------------</w:t>
            </w:r>
          </w:p>
        </w:tc>
      </w:tr>
    </w:tbl>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hint="eastAsia" w:eastAsia="宋体"/>
          <w:bCs/>
          <w:color w:val="000000" w:themeColor="text1"/>
          <w14:textFill>
            <w14:solidFill>
              <w14:schemeClr w14:val="tx1"/>
            </w14:solidFill>
          </w14:textFill>
        </w:rPr>
        <w:t>In RAN1#120</w:t>
      </w:r>
      <w:r>
        <w:rPr>
          <w:rFonts w:hint="eastAsia" w:eastAsia="宋体"/>
          <w:bCs/>
          <w:color w:val="000000" w:themeColor="text1"/>
          <w:lang w:val="en-US" w:eastAsia="zh-CN"/>
          <w14:textFill>
            <w14:solidFill>
              <w14:schemeClr w14:val="tx1"/>
            </w14:solidFill>
          </w14:textFill>
        </w:rPr>
        <w:t>b</w:t>
      </w:r>
      <w:r>
        <w:rPr>
          <w:rFonts w:hint="eastAsia" w:eastAsia="宋体"/>
          <w:bCs/>
          <w:color w:val="000000" w:themeColor="text1"/>
          <w14:textFill>
            <w14:solidFill>
              <w14:schemeClr w14:val="tx1"/>
            </w14:solidFill>
          </w14:textFill>
        </w:rPr>
        <w:t xml:space="preserve"> meeting</w:t>
      </w:r>
      <w:r>
        <w:rPr>
          <w:rFonts w:hint="eastAsia" w:eastAsia="宋体"/>
          <w:bCs/>
          <w:color w:val="000000" w:themeColor="text1"/>
          <w:vertAlign w:val="superscript"/>
          <w14:textFill>
            <w14:solidFill>
              <w14:schemeClr w14:val="tx1"/>
            </w14:solidFill>
          </w14:textFill>
        </w:rPr>
        <w:t>[2]</w:t>
      </w:r>
      <w:r>
        <w:rPr>
          <w:rFonts w:hint="eastAsia" w:eastAsia="宋体"/>
          <w:bCs/>
          <w:color w:val="000000" w:themeColor="text1"/>
          <w14:textFill>
            <w14:solidFill>
              <w14:schemeClr w14:val="tx1"/>
            </w14:solidFill>
          </w14:textFill>
        </w:rPr>
        <w:t xml:space="preserve">, the feasibility of different inter-vendor collaboration options and the potential specification impacts of different LCM aspects for AI/ML-based CSI compression using two-sided model were discussed. Specifically, for the alignment of quantization/dequantization between NW and UE, standardized quantization codebook was agreed for Direction C as there is no inter-vendor collaboration, while multiple configurations of quantization codebook can be provided to the UE to indicate the selected quantization codebook for Direction A. It was </w:t>
      </w:r>
      <w:r>
        <w:rPr>
          <w:rFonts w:hint="eastAsia" w:eastAsia="宋体"/>
          <w:bCs/>
          <w:color w:val="000000" w:themeColor="text1"/>
          <w:lang w:val="en-US" w:eastAsia="zh-CN"/>
          <w14:textFill>
            <w14:solidFill>
              <w14:schemeClr w14:val="tx1"/>
            </w14:solidFill>
          </w14:textFill>
        </w:rPr>
        <w:t xml:space="preserve">further </w:t>
      </w:r>
      <w:r>
        <w:rPr>
          <w:rFonts w:hint="eastAsia" w:eastAsia="宋体"/>
          <w:bCs/>
          <w:color w:val="000000" w:themeColor="text1"/>
          <w14:textFill>
            <w14:solidFill>
              <w14:schemeClr w14:val="tx1"/>
            </w14:solidFill>
          </w14:textFill>
        </w:rPr>
        <w:t>confirmed that SGCS/NMSE as the type of performance metric and pairing ID can be shared as additional information along with the exchanged dataset or the model parameters for Direction A. Additionally, evaluation results for scalability over feature dimension, token dimension, and payload configuration were summarized. It was then concluded that scalable model structure specification and model parameters specification are feasible for Direction A Option 3a-1 and Direction</w:t>
      </w:r>
      <w:r>
        <w:rPr>
          <w:rFonts w:hint="eastAsia" w:eastAsia="宋体"/>
          <w:bCs/>
          <w:color w:val="000000" w:themeColor="text1"/>
          <w:lang w:val="en-US" w:eastAsia="zh-CN"/>
          <w14:textFill>
            <w14:solidFill>
              <w14:schemeClr w14:val="tx1"/>
            </w14:solidFill>
          </w14:textFill>
        </w:rPr>
        <w:t xml:space="preserve"> C</w:t>
      </w:r>
      <w:r>
        <w:rPr>
          <w:rFonts w:hint="eastAsia" w:eastAsia="宋体"/>
          <w:bCs/>
          <w:color w:val="000000" w:themeColor="text1"/>
          <w14:textFill>
            <w14:solidFill>
              <w14:schemeClr w14:val="tx1"/>
            </w14:solidFill>
          </w14:textFill>
        </w:rPr>
        <w:t>. Since almost all feasibility issues have been addressed, RAN1 further concluded that both Direction A (including sub-option 4-1,</w:t>
      </w:r>
      <w:r>
        <w:rPr>
          <w:rFonts w:hint="eastAsia" w:eastAsia="宋体"/>
          <w:bCs/>
          <w:color w:val="000000" w:themeColor="text1"/>
          <w:lang w:val="en-US" w:eastAsia="zh-CN"/>
          <w14:textFill>
            <w14:solidFill>
              <w14:schemeClr w14:val="tx1"/>
            </w14:solidFill>
          </w14:textFill>
        </w:rPr>
        <w:t xml:space="preserve"> </w:t>
      </w:r>
      <w:r>
        <w:rPr>
          <w:rFonts w:hint="eastAsia" w:eastAsia="宋体"/>
          <w:bCs/>
          <w:color w:val="000000" w:themeColor="text1"/>
          <w14:textFill>
            <w14:solidFill>
              <w14:schemeClr w14:val="tx1"/>
            </w14:solidFill>
          </w14:textFill>
        </w:rPr>
        <w:t>sub-option 3a-1</w:t>
      </w:r>
      <w:r>
        <w:rPr>
          <w:rFonts w:hint="eastAsia" w:eastAsia="宋体"/>
          <w:bCs/>
          <w:color w:val="000000" w:themeColor="text1"/>
          <w:lang w:val="en-US" w:eastAsia="zh-CN"/>
          <w14:textFill>
            <w14:solidFill>
              <w14:schemeClr w14:val="tx1"/>
            </w14:solidFill>
          </w14:textFill>
        </w:rPr>
        <w:t xml:space="preserve"> </w:t>
      </w:r>
      <w:r>
        <w:rPr>
          <w:rFonts w:hint="eastAsia" w:eastAsia="宋体"/>
          <w:bCs/>
          <w:color w:val="000000" w:themeColor="text1"/>
          <w14:textFill>
            <w14:solidFill>
              <w14:schemeClr w14:val="tx1"/>
            </w14:solidFill>
          </w14:textFill>
        </w:rPr>
        <w:t>with and without target CSI sharing) and Direction C are feasible.</w:t>
      </w:r>
      <w:r>
        <w:rPr>
          <w:rFonts w:hint="eastAsia" w:eastAsia="宋体"/>
          <w:bCs/>
          <w:color w:val="000000" w:themeColor="text1"/>
          <w:lang w:val="en-US" w:eastAsia="zh-CN"/>
          <w14:textFill>
            <w14:solidFill>
              <w14:schemeClr w14:val="tx1"/>
            </w14:solidFill>
          </w14:textFill>
        </w:rPr>
        <w:t xml:space="preserve"> </w:t>
      </w:r>
      <w:r>
        <w:rPr>
          <w:rFonts w:hint="eastAsia" w:eastAsia="宋体"/>
          <w:bCs/>
          <w:color w:val="000000" w:themeColor="text1"/>
          <w14:textFill>
            <w14:solidFill>
              <w14:schemeClr w14:val="tx1"/>
            </w14:solidFill>
          </w14:textFill>
        </w:rPr>
        <w:t>Nevertheless, there are still some open issues for different inter-vendor collaboration directions, such as the necessity of transferring target CSI for option 3a-1,</w:t>
      </w:r>
      <w:r>
        <w:rPr>
          <w:rFonts w:hint="eastAsia" w:eastAsia="宋体"/>
          <w:bCs/>
          <w:color w:val="000000" w:themeColor="text1"/>
          <w:lang w:val="en-US" w:eastAsia="zh-CN"/>
          <w14:textFill>
            <w14:solidFill>
              <w14:schemeClr w14:val="tx1"/>
            </w14:solidFill>
          </w14:textFill>
        </w:rPr>
        <w:t xml:space="preserve"> </w:t>
      </w:r>
      <w:r>
        <w:rPr>
          <w:rFonts w:hint="eastAsia" w:eastAsia="宋体"/>
          <w:bCs/>
          <w:color w:val="000000" w:themeColor="text1"/>
          <w14:textFill>
            <w14:solidFill>
              <w14:schemeClr w14:val="tx1"/>
            </w14:solidFill>
          </w14:textFill>
        </w:rPr>
        <w:t xml:space="preserve">specification impacts for data collection for TSF </w:t>
      </w:r>
      <w:r>
        <w:rPr>
          <w:rFonts w:hint="eastAsia" w:eastAsia="宋体"/>
          <w:color w:val="000000" w:themeColor="text1"/>
          <w:szCs w:val="20"/>
          <w14:textFill>
            <w14:solidFill>
              <w14:schemeClr w14:val="tx1"/>
            </w14:solidFill>
          </w14:textFill>
        </w:rPr>
        <w:t>Case 3</w:t>
      </w:r>
      <w:r>
        <w:rPr>
          <w:rFonts w:hint="eastAsia" w:eastAsia="宋体"/>
          <w:color w:val="000000" w:themeColor="text1"/>
          <w:szCs w:val="20"/>
          <w:lang w:val="en-US" w:eastAsia="zh-CN"/>
          <w14:textFill>
            <w14:solidFill>
              <w14:schemeClr w14:val="tx1"/>
            </w14:solidFill>
          </w14:textFill>
        </w:rPr>
        <w:t xml:space="preserve">, </w:t>
      </w:r>
      <w:r>
        <w:rPr>
          <w:rFonts w:hint="eastAsia" w:eastAsia="宋体"/>
          <w:bCs/>
          <w:color w:val="000000" w:themeColor="text1"/>
          <w:lang w:val="en-US" w:eastAsia="zh-CN"/>
          <w14:textFill>
            <w14:solidFill>
              <w14:schemeClr w14:val="tx1"/>
            </w14:solidFill>
          </w14:textFill>
        </w:rPr>
        <w:t>UE-side monitoring options</w:t>
      </w:r>
      <w:r>
        <w:rPr>
          <w:rFonts w:hint="eastAsia" w:eastAsia="宋体"/>
          <w:bCs/>
          <w:color w:val="000000" w:themeColor="text1"/>
          <w14:textFill>
            <w14:solidFill>
              <w14:schemeClr w14:val="tx1"/>
            </w14:solidFill>
          </w14:textFill>
        </w:rPr>
        <w:t>. Therefore, in this contribution, we provide our observations and proposals for inter-vendor collaboration directions and analysis on potential specification impacts.</w:t>
      </w:r>
    </w:p>
    <w:p>
      <w:pPr>
        <w:snapToGrid w:val="0"/>
        <w:spacing w:before="30" w:after="30" w:line="288" w:lineRule="auto"/>
        <w:jc w:val="both"/>
        <w:rPr>
          <w:rFonts w:eastAsia="Times New Roman"/>
          <w:color w:val="000000" w:themeColor="text1"/>
          <w14:textFill>
            <w14:solidFill>
              <w14:schemeClr w14:val="tx1"/>
            </w14:solidFill>
          </w14:textFill>
        </w:rPr>
      </w:pPr>
    </w:p>
    <w:bookmarkEnd w:id="0"/>
    <w:p>
      <w:pPr>
        <w:numPr>
          <w:ilvl w:val="0"/>
          <w:numId w:val="10"/>
        </w:numPr>
        <w:pBdr>
          <w:top w:val="single" w:color="auto" w:sz="8" w:space="1"/>
        </w:pBdr>
        <w:tabs>
          <w:tab w:val="left" w:pos="576"/>
        </w:tabs>
        <w:snapToGrid w:val="0"/>
        <w:spacing w:before="72" w:beforeLines="30" w:after="72" w:afterLines="30" w:line="288" w:lineRule="auto"/>
        <w:jc w:val="both"/>
        <w:outlineLvl w:val="0"/>
        <w:rPr>
          <w:color w:val="000000" w:themeColor="text1"/>
          <w:sz w:val="28"/>
          <w:szCs w:val="28"/>
          <w14:textFill>
            <w14:solidFill>
              <w14:schemeClr w14:val="tx1"/>
            </w14:solidFill>
          </w14:textFill>
        </w:rPr>
      </w:pPr>
      <w:r>
        <w:rPr>
          <w:rFonts w:hint="eastAsia" w:eastAsia="宋体"/>
          <w:color w:val="000000" w:themeColor="text1"/>
          <w:sz w:val="28"/>
          <w:szCs w:val="28"/>
          <w:lang w:val="en-US" w:eastAsia="zh-CN"/>
          <w14:textFill>
            <w14:solidFill>
              <w14:schemeClr w14:val="tx1"/>
            </w14:solidFill>
          </w14:textFill>
        </w:rPr>
        <w:t>Recommendation from RAN1</w:t>
      </w:r>
    </w:p>
    <w:p>
      <w:pPr>
        <w:overflowPunct w:val="0"/>
        <w:snapToGrid w:val="0"/>
        <w:spacing w:before="72" w:beforeLines="30" w:after="72" w:afterLines="30" w:line="288" w:lineRule="auto"/>
        <w:jc w:val="both"/>
        <w:rPr>
          <w:rFonts w:hint="default" w:eastAsia="宋体"/>
          <w:bCs/>
          <w:color w:val="000000" w:themeColor="text1"/>
          <w:lang w:val="en-US" w:eastAsia="zh-CN"/>
          <w14:textFill>
            <w14:solidFill>
              <w14:schemeClr w14:val="tx1"/>
            </w14:solidFill>
          </w14:textFill>
        </w:rPr>
      </w:pPr>
      <w:r>
        <w:rPr>
          <w:rFonts w:hint="eastAsia" w:eastAsia="宋体"/>
          <w:bCs/>
          <w:color w:val="000000" w:themeColor="text1"/>
          <w:lang w:val="en-US" w:eastAsia="zh-CN"/>
          <w14:textFill>
            <w14:solidFill>
              <w14:schemeClr w14:val="tx1"/>
            </w14:solidFill>
          </w14:textFill>
        </w:rPr>
        <w:t xml:space="preserve">In RAN1#120b meeting, RAN1 concluded that both Direction A (including sub-option 4-1, sub-option 3a-1 with and without target CSI sharing) and Direction C are feasible as shown below. Additionally, for temporal domain aspects of AI/ML-based CSI compression, it was agreed to </w:t>
      </w:r>
      <w:r>
        <w:rPr>
          <w:color w:val="000000" w:themeColor="text1"/>
          <w14:textFill>
            <w14:solidFill>
              <w14:schemeClr w14:val="tx1"/>
            </w14:solidFill>
          </w14:textFill>
        </w:rPr>
        <w:t>prioritize further discussion on Case 2 and Case 3</w:t>
      </w:r>
      <w:r>
        <w:rPr>
          <w:rFonts w:hint="eastAsia" w:eastAsia="宋体"/>
          <w:color w:val="000000" w:themeColor="text1"/>
          <w:lang w:val="en-US" w:eastAsia="zh-CN"/>
          <w14:textFill>
            <w14:solidFill>
              <w14:schemeClr w14:val="tx1"/>
            </w14:solidFill>
          </w14:textFill>
        </w:rPr>
        <w:t xml:space="preserve">. </w:t>
      </w:r>
      <w:r>
        <w:rPr>
          <w:rFonts w:hint="eastAsia" w:eastAsia="宋体"/>
          <w:bCs/>
          <w:color w:val="000000" w:themeColor="text1"/>
          <w:lang w:val="en-US" w:eastAsia="zh-CN"/>
          <w14:textFill>
            <w14:solidFill>
              <w14:schemeClr w14:val="tx1"/>
            </w14:solidFill>
          </w14:textFill>
        </w:rPr>
        <w:t>However, c</w:t>
      </w:r>
      <w:r>
        <w:rPr>
          <w:rFonts w:hint="eastAsia" w:eastAsia="宋体"/>
          <w:bCs/>
          <w:color w:val="000000" w:themeColor="text1"/>
          <w14:textFill>
            <w14:solidFill>
              <w14:schemeClr w14:val="tx1"/>
            </w14:solidFill>
          </w14:textFill>
        </w:rPr>
        <w:t xml:space="preserve">onsidering the potential </w:t>
      </w:r>
      <w:r>
        <w:rPr>
          <w:rFonts w:hint="eastAsia" w:eastAsia="宋体"/>
          <w:bCs/>
          <w:color w:val="000000" w:themeColor="text1"/>
          <w:lang w:val="en-US" w:eastAsia="zh-CN"/>
          <w14:textFill>
            <w14:solidFill>
              <w14:schemeClr w14:val="tx1"/>
            </w14:solidFill>
          </w14:textFill>
        </w:rPr>
        <w:t xml:space="preserve">large </w:t>
      </w:r>
      <w:r>
        <w:rPr>
          <w:rFonts w:hint="eastAsia" w:eastAsia="宋体"/>
          <w:bCs/>
          <w:color w:val="000000" w:themeColor="text1"/>
          <w14:textFill>
            <w14:solidFill>
              <w14:schemeClr w14:val="tx1"/>
            </w14:solidFill>
          </w14:textFill>
        </w:rPr>
        <w:t xml:space="preserve">spec impacts for AI/ML-based CSI compression using two-sided model, standardizing </w:t>
      </w:r>
      <w:r>
        <w:rPr>
          <w:rFonts w:hint="eastAsia" w:eastAsia="宋体"/>
          <w:bCs/>
          <w:color w:val="000000" w:themeColor="text1"/>
          <w:lang w:val="en-US" w:eastAsia="zh-CN"/>
          <w14:textFill>
            <w14:solidFill>
              <w14:schemeClr w14:val="tx1"/>
            </w14:solidFill>
          </w14:textFill>
        </w:rPr>
        <w:t xml:space="preserve">all different cases </w:t>
      </w:r>
      <w:r>
        <w:rPr>
          <w:rFonts w:hint="eastAsia" w:eastAsia="宋体"/>
          <w:bCs/>
          <w:color w:val="000000" w:themeColor="text1"/>
          <w14:textFill>
            <w14:solidFill>
              <w14:schemeClr w14:val="tx1"/>
            </w14:solidFill>
          </w14:textFill>
        </w:rPr>
        <w:t xml:space="preserve">in parallel </w:t>
      </w:r>
      <w:r>
        <w:rPr>
          <w:rFonts w:hint="eastAsia" w:eastAsia="宋体"/>
          <w:bCs/>
          <w:color w:val="000000" w:themeColor="text1"/>
          <w:lang w:val="en-US" w:eastAsia="zh-CN"/>
          <w14:textFill>
            <w14:solidFill>
              <w14:schemeClr w14:val="tx1"/>
            </w14:solidFill>
          </w14:textFill>
        </w:rPr>
        <w:t xml:space="preserve">may </w:t>
      </w:r>
      <w:r>
        <w:rPr>
          <w:rFonts w:hint="eastAsia" w:eastAsia="宋体"/>
          <w:bCs/>
          <w:color w:val="000000" w:themeColor="text1"/>
          <w14:textFill>
            <w14:solidFill>
              <w14:schemeClr w14:val="tx1"/>
            </w14:solidFill>
          </w14:textFill>
        </w:rPr>
        <w:t>bring unaffordable spec efforts.</w:t>
      </w:r>
      <w:r>
        <w:rPr>
          <w:rFonts w:hint="eastAsia" w:eastAsia="宋体"/>
          <w:bCs/>
          <w:color w:val="000000" w:themeColor="text1"/>
          <w:lang w:val="en-US" w:eastAsia="zh-CN"/>
          <w14:textFill>
            <w14:solidFill>
              <w14:schemeClr w14:val="tx1"/>
            </w14:solidFill>
          </w14:textFill>
        </w:rPr>
        <w:t xml:space="preserve"> Therefore, in the following, we provide our views on the prioritization of different cases and potential specification impact.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eastAsia="等线"/>
                <w:b/>
                <w:color w:val="000000" w:themeColor="text1"/>
                <w:lang w:val="en-GB" w:eastAsia="en-US"/>
                <w14:textFill>
                  <w14:solidFill>
                    <w14:schemeClr w14:val="tx1"/>
                  </w14:solidFill>
                </w14:textFill>
              </w:rPr>
            </w:pPr>
            <w:r>
              <w:rPr>
                <w:rFonts w:hint="default" w:eastAsia="等线"/>
                <w:b/>
                <w:color w:val="000000" w:themeColor="text1"/>
                <w:lang w:val="en-GB" w:eastAsia="zh-CN"/>
                <w14:textFill>
                  <w14:solidFill>
                    <w14:schemeClr w14:val="tx1"/>
                  </w14:solidFill>
                </w14:textFill>
              </w:rPr>
              <w:t>Conclusion</w:t>
            </w:r>
          </w:p>
          <w:p>
            <w:pPr>
              <w:keepNext w:val="0"/>
              <w:keepLines w:val="0"/>
              <w:pageBreakBefore w:val="0"/>
              <w:widowControl/>
              <w:numPr>
                <w:ilvl w:val="0"/>
                <w:numId w:val="12"/>
              </w:numPr>
              <w:suppressAutoHyphens/>
              <w:kinsoku/>
              <w:wordWrap/>
              <w:overflowPunct/>
              <w:topLinePunct w:val="0"/>
              <w:autoSpaceDE/>
              <w:autoSpaceDN/>
              <w:bidi w:val="0"/>
              <w:adjustRightInd/>
              <w:snapToGrid w:val="0"/>
              <w:spacing w:before="109" w:beforeLines="30" w:after="109" w:afterLines="30" w:line="288" w:lineRule="auto"/>
              <w:ind w:left="360" w:leftChars="0" w:hanging="360"/>
              <w:contextualSpacing/>
              <w:jc w:val="both"/>
              <w:textAlignment w:val="auto"/>
              <w:rPr>
                <w:rFonts w:hint="default" w:ascii="Times New Roman" w:hAnsi="Times New Roman" w:eastAsia="Batang" w:cs="Times New Roman"/>
                <w:color w:val="000000" w:themeColor="text1"/>
                <w:szCs w:val="24"/>
                <w:lang w:val="en-GB" w:eastAsia="en-US" w:bidi="ar-SA"/>
                <w14:textFill>
                  <w14:solidFill>
                    <w14:schemeClr w14:val="tx1"/>
                  </w14:solidFill>
                </w14:textFill>
              </w:rPr>
            </w:pPr>
            <w:r>
              <w:rPr>
                <w:rFonts w:hint="default" w:ascii="Times New Roman" w:hAnsi="Times New Roman" w:eastAsia="Batang" w:cs="Times New Roman"/>
                <w:color w:val="000000" w:themeColor="text1"/>
                <w:szCs w:val="24"/>
                <w:lang w:val="en-GB" w:eastAsia="en-US" w:bidi="ar-SA"/>
                <w14:textFill>
                  <w14:solidFill>
                    <w14:schemeClr w14:val="tx1"/>
                  </w14:solidFill>
                </w14:textFill>
              </w:rPr>
              <w:t>For Direction A Option 3a-1, based on evaluation results, RAN1 concludes that scalable model structure specification is feasible.</w:t>
            </w:r>
          </w:p>
          <w:p>
            <w:pPr>
              <w:keepNext w:val="0"/>
              <w:keepLines w:val="0"/>
              <w:pageBreakBefore w:val="0"/>
              <w:widowControl/>
              <w:numPr>
                <w:ilvl w:val="0"/>
                <w:numId w:val="12"/>
              </w:numPr>
              <w:suppressAutoHyphens/>
              <w:kinsoku/>
              <w:wordWrap/>
              <w:overflowPunct/>
              <w:topLinePunct w:val="0"/>
              <w:autoSpaceDE/>
              <w:autoSpaceDN/>
              <w:bidi w:val="0"/>
              <w:adjustRightInd/>
              <w:snapToGrid w:val="0"/>
              <w:spacing w:before="109" w:beforeLines="30" w:after="109" w:afterLines="30" w:line="288" w:lineRule="auto"/>
              <w:ind w:left="360" w:leftChars="0" w:hanging="360"/>
              <w:contextualSpacing/>
              <w:jc w:val="both"/>
              <w:textAlignment w:val="auto"/>
              <w:rPr>
                <w:rFonts w:hint="default" w:ascii="Times New Roman" w:hAnsi="Times New Roman" w:eastAsia="Batang" w:cs="Times New Roman"/>
                <w:color w:val="000000" w:themeColor="text1"/>
                <w:szCs w:val="24"/>
                <w:lang w:val="en-GB" w:eastAsia="en-US" w:bidi="ar-SA"/>
                <w14:textFill>
                  <w14:solidFill>
                    <w14:schemeClr w14:val="tx1"/>
                  </w14:solidFill>
                </w14:textFill>
              </w:rPr>
            </w:pPr>
            <w:r>
              <w:rPr>
                <w:rFonts w:hint="default" w:ascii="Times New Roman" w:hAnsi="Times New Roman" w:eastAsia="Batang" w:cs="Times New Roman"/>
                <w:color w:val="000000" w:themeColor="text1"/>
                <w:szCs w:val="24"/>
                <w:lang w:val="en-GB" w:eastAsia="en-US" w:bidi="ar-SA"/>
                <w14:textFill>
                  <w14:solidFill>
                    <w14:schemeClr w14:val="tx1"/>
                  </w14:solidFill>
                </w14:textFill>
              </w:rPr>
              <w:t>For Direction C, based on evaluation results, RAN1 concludes that scalable model structure specification and model parameters specification is feasible.</w:t>
            </w:r>
          </w:p>
          <w:p>
            <w:pPr>
              <w:keepNext w:val="0"/>
              <w:keepLines w:val="0"/>
              <w:pageBreakBefore w:val="0"/>
              <w:widowControl/>
              <w:numPr>
                <w:ilvl w:val="1"/>
                <w:numId w:val="13"/>
              </w:numPr>
              <w:suppressAutoHyphens/>
              <w:kinsoku/>
              <w:wordWrap/>
              <w:overflowPunct/>
              <w:topLinePunct w:val="0"/>
              <w:autoSpaceDE/>
              <w:autoSpaceDN/>
              <w:bidi w:val="0"/>
              <w:adjustRightInd/>
              <w:snapToGrid w:val="0"/>
              <w:spacing w:before="109" w:beforeLines="30" w:after="109" w:afterLines="30" w:line="288" w:lineRule="auto"/>
              <w:ind w:left="1160" w:leftChars="0" w:hanging="440"/>
              <w:contextualSpacing/>
              <w:jc w:val="both"/>
              <w:textAlignment w:val="auto"/>
              <w:rPr>
                <w:rFonts w:hint="default" w:ascii="Times New Roman" w:hAnsi="Times New Roman" w:eastAsia="Batang" w:cs="Times New Roman"/>
                <w:color w:val="000000" w:themeColor="text1"/>
                <w:szCs w:val="24"/>
                <w:lang w:val="en-GB" w:eastAsia="en-US" w:bidi="ar-SA"/>
                <w14:textFill>
                  <w14:solidFill>
                    <w14:schemeClr w14:val="tx1"/>
                  </w14:solidFill>
                </w14:textFill>
              </w:rPr>
            </w:pPr>
            <w:r>
              <w:rPr>
                <w:rFonts w:hint="default" w:ascii="Times New Roman" w:hAnsi="Times New Roman" w:eastAsia="Batang" w:cs="Times New Roman"/>
                <w:color w:val="000000" w:themeColor="text1"/>
                <w:szCs w:val="24"/>
                <w:lang w:val="en-GB" w:eastAsia="en-US" w:bidi="ar-SA"/>
                <w14:textFill>
                  <w14:solidFill>
                    <w14:schemeClr w14:val="tx1"/>
                  </w14:solidFill>
                </w14:textFill>
              </w:rPr>
              <w:t>Note: RAN4 feasibility is a separate study to be confirmed by RAN4.</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eastAsia="等线"/>
                <w:b/>
                <w:color w:val="000000" w:themeColor="text1"/>
                <w:lang w:val="en-GB" w:eastAsia="en-US"/>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eastAsia="等线"/>
                <w:b/>
                <w:color w:val="000000" w:themeColor="text1"/>
                <w:lang w:val="en-GB" w:eastAsia="en-US"/>
                <w14:textFill>
                  <w14:solidFill>
                    <w14:schemeClr w14:val="tx1"/>
                  </w14:solidFill>
                </w14:textFill>
              </w:rPr>
            </w:pPr>
            <w:r>
              <w:rPr>
                <w:rFonts w:hint="default" w:eastAsia="等线"/>
                <w:b/>
                <w:color w:val="000000" w:themeColor="text1"/>
                <w:lang w:val="en-GB" w:eastAsia="en-US"/>
                <w14:textFill>
                  <w14:solidFill>
                    <w14:schemeClr w14:val="tx1"/>
                  </w14:solidFill>
                </w14:textFill>
              </w:rPr>
              <w:t>Conclusion</w:t>
            </w:r>
          </w:p>
          <w:p>
            <w:pPr>
              <w:keepNext w:val="0"/>
              <w:keepLines w:val="0"/>
              <w:pageBreakBefore w:val="0"/>
              <w:widowControl/>
              <w:numPr>
                <w:ilvl w:val="0"/>
                <w:numId w:val="14"/>
              </w:numPr>
              <w:kinsoku/>
              <w:wordWrap/>
              <w:overflowPunct/>
              <w:topLinePunct w:val="0"/>
              <w:autoSpaceDE/>
              <w:autoSpaceDN/>
              <w:bidi w:val="0"/>
              <w:adjustRightInd/>
              <w:snapToGrid w:val="0"/>
              <w:spacing w:before="109" w:beforeLines="30" w:after="109" w:afterLines="30" w:line="288" w:lineRule="auto"/>
              <w:ind w:left="840" w:leftChars="0" w:hanging="357"/>
              <w:textAlignment w:val="auto"/>
              <w:rPr>
                <w:rFonts w:hint="default" w:ascii="Times New Roman" w:hAnsi="Times New Roman" w:eastAsia="Batang" w:cs="Times New Roman"/>
                <w:color w:val="000000" w:themeColor="text1"/>
                <w:szCs w:val="24"/>
                <w:lang w:val="en-GB" w:eastAsia="en-US" w:bidi="ar-SA"/>
                <w14:textFill>
                  <w14:solidFill>
                    <w14:schemeClr w14:val="tx1"/>
                  </w14:solidFill>
                </w14:textFill>
              </w:rPr>
            </w:pPr>
            <w:r>
              <w:rPr>
                <w:rFonts w:hint="default" w:ascii="Times New Roman" w:hAnsi="Times New Roman" w:eastAsia="等线" w:cs="Times New Roman"/>
                <w:color w:val="000000" w:themeColor="text1"/>
                <w:szCs w:val="24"/>
                <w:lang w:val="en-GB" w:eastAsia="zh-CN" w:bidi="ar-SA"/>
                <w14:textFill>
                  <w14:solidFill>
                    <w14:schemeClr w14:val="tx1"/>
                  </w14:solidFill>
                </w14:textFill>
              </w:rPr>
              <w:t xml:space="preserve">RAN1 concludes that both </w:t>
            </w:r>
            <w:r>
              <w:rPr>
                <w:rFonts w:hint="default" w:ascii="Times New Roman" w:hAnsi="Times New Roman" w:eastAsia="Batang" w:cs="Times New Roman"/>
                <w:color w:val="000000" w:themeColor="text1"/>
                <w:szCs w:val="24"/>
                <w:lang w:val="en-GB" w:eastAsia="en-US" w:bidi="ar-SA"/>
                <w14:textFill>
                  <w14:solidFill>
                    <w14:schemeClr w14:val="tx1"/>
                  </w14:solidFill>
                </w14:textFill>
              </w:rPr>
              <w:t>Direction A and Direction C</w:t>
            </w:r>
            <w:r>
              <w:rPr>
                <w:rFonts w:hint="default" w:ascii="Times New Roman" w:hAnsi="Times New Roman" w:eastAsia="等线" w:cs="Times New Roman"/>
                <w:color w:val="000000" w:themeColor="text1"/>
                <w:szCs w:val="24"/>
                <w:lang w:val="en-GB" w:eastAsia="zh-CN" w:bidi="ar-SA"/>
                <w14:textFill>
                  <w14:solidFill>
                    <w14:schemeClr w14:val="tx1"/>
                  </w14:solidFill>
                </w14:textFill>
              </w:rPr>
              <w:t xml:space="preserve"> are feasible</w:t>
            </w:r>
            <w:r>
              <w:rPr>
                <w:rFonts w:hint="default" w:ascii="Times New Roman" w:hAnsi="Times New Roman" w:eastAsia="Batang" w:cs="Times New Roman"/>
                <w:color w:val="000000" w:themeColor="text1"/>
                <w:szCs w:val="24"/>
                <w:lang w:val="en-GB" w:eastAsia="en-US" w:bidi="ar-SA"/>
                <w14:textFill>
                  <w14:solidFill>
                    <w14:schemeClr w14:val="tx1"/>
                  </w14:solidFill>
                </w14:textFill>
              </w:rPr>
              <w:t>.</w:t>
            </w:r>
          </w:p>
          <w:p>
            <w:pPr>
              <w:keepNext w:val="0"/>
              <w:keepLines w:val="0"/>
              <w:pageBreakBefore w:val="0"/>
              <w:widowControl/>
              <w:numPr>
                <w:ilvl w:val="0"/>
                <w:numId w:val="15"/>
              </w:numPr>
              <w:kinsoku/>
              <w:wordWrap/>
              <w:overflowPunct/>
              <w:topLinePunct w:val="0"/>
              <w:autoSpaceDE/>
              <w:autoSpaceDN/>
              <w:bidi w:val="0"/>
              <w:adjustRightInd/>
              <w:snapToGrid w:val="0"/>
              <w:spacing w:before="109" w:beforeLines="30" w:after="109" w:afterLines="30" w:line="288" w:lineRule="auto"/>
              <w:ind w:left="840" w:leftChars="0" w:hanging="357"/>
              <w:textAlignment w:val="auto"/>
              <w:rPr>
                <w:rFonts w:hint="default" w:ascii="Times New Roman" w:hAnsi="Times New Roman" w:eastAsia="Batang" w:cs="Times New Roman"/>
                <w:color w:val="000000" w:themeColor="text1"/>
                <w:szCs w:val="24"/>
                <w:lang w:val="en-GB" w:eastAsia="en-US" w:bidi="ar-SA"/>
                <w14:textFill>
                  <w14:solidFill>
                    <w14:schemeClr w14:val="tx1"/>
                  </w14:solidFill>
                </w14:textFill>
              </w:rPr>
            </w:pPr>
            <w:r>
              <w:rPr>
                <w:rFonts w:hint="default" w:ascii="Times New Roman" w:hAnsi="Times New Roman" w:eastAsia="等线" w:cs="Times New Roman"/>
                <w:color w:val="000000" w:themeColor="text1"/>
                <w:szCs w:val="24"/>
                <w:lang w:val="en-GB" w:eastAsia="zh-CN" w:bidi="ar-SA"/>
                <w14:textFill>
                  <w14:solidFill>
                    <w14:schemeClr w14:val="tx1"/>
                  </w14:solidFill>
                </w14:textFill>
              </w:rPr>
              <w:t>RAN1 concludes that b</w:t>
            </w:r>
            <w:r>
              <w:rPr>
                <w:rFonts w:hint="default" w:ascii="Times New Roman" w:hAnsi="Times New Roman" w:eastAsia="Batang" w:cs="Times New Roman"/>
                <w:color w:val="000000" w:themeColor="text1"/>
                <w:szCs w:val="24"/>
                <w:lang w:val="en-GB" w:eastAsia="en-US" w:bidi="ar-SA"/>
                <w14:textFill>
                  <w14:solidFill>
                    <w14:schemeClr w14:val="tx1"/>
                  </w14:solidFill>
                </w14:textFill>
              </w:rPr>
              <w:t xml:space="preserve">oth sub-option 4-1 and sub-option 3a-1 </w:t>
            </w:r>
            <w:r>
              <w:rPr>
                <w:rFonts w:hint="default" w:ascii="Times New Roman" w:hAnsi="Times New Roman" w:eastAsia="等线" w:cs="Times New Roman"/>
                <w:color w:val="000000" w:themeColor="text1"/>
                <w:szCs w:val="24"/>
                <w:lang w:val="en-GB" w:eastAsia="zh-CN" w:bidi="ar-SA"/>
                <w14:textFill>
                  <w14:solidFill>
                    <w14:schemeClr w14:val="tx1"/>
                  </w14:solidFill>
                </w14:textFill>
              </w:rPr>
              <w:t>are feasible</w:t>
            </w:r>
            <w:r>
              <w:rPr>
                <w:rFonts w:hint="default" w:ascii="Times New Roman" w:hAnsi="Times New Roman" w:eastAsia="Batang" w:cs="Times New Roman"/>
                <w:color w:val="000000" w:themeColor="text1"/>
                <w:szCs w:val="24"/>
                <w:lang w:val="en-GB" w:eastAsia="en-US" w:bidi="ar-SA"/>
                <w14:textFill>
                  <w14:solidFill>
                    <w14:schemeClr w14:val="tx1"/>
                  </w14:solidFill>
                </w14:textFill>
              </w:rPr>
              <w:t>.</w:t>
            </w:r>
          </w:p>
          <w:p>
            <w:pPr>
              <w:keepNext w:val="0"/>
              <w:keepLines w:val="0"/>
              <w:pageBreakBefore w:val="0"/>
              <w:widowControl/>
              <w:numPr>
                <w:ilvl w:val="2"/>
                <w:numId w:val="15"/>
              </w:numPr>
              <w:kinsoku/>
              <w:wordWrap/>
              <w:overflowPunct/>
              <w:topLinePunct w:val="0"/>
              <w:autoSpaceDE/>
              <w:autoSpaceDN/>
              <w:bidi w:val="0"/>
              <w:adjustRightInd/>
              <w:snapToGrid w:val="0"/>
              <w:spacing w:before="109" w:beforeLines="30" w:after="109" w:afterLines="30" w:line="288" w:lineRule="auto"/>
              <w:ind w:left="1260" w:leftChars="0" w:hanging="357"/>
              <w:contextualSpacing/>
              <w:textAlignment w:val="auto"/>
              <w:rPr>
                <w:color w:val="000000" w:themeColor="text1"/>
                <w:vertAlign w:val="baseline"/>
                <w14:textFill>
                  <w14:solidFill>
                    <w14:schemeClr w14:val="tx1"/>
                  </w14:solidFill>
                </w14:textFill>
              </w:rPr>
            </w:pPr>
            <w:r>
              <w:rPr>
                <w:rFonts w:hint="default" w:ascii="Times New Roman" w:hAnsi="Times New Roman" w:eastAsia="Batang" w:cs="Times New Roman"/>
                <w:color w:val="000000" w:themeColor="text1"/>
                <w:szCs w:val="24"/>
                <w:lang w:val="en-GB" w:eastAsia="en-US" w:bidi="ar-SA"/>
                <w14:textFill>
                  <w14:solidFill>
                    <w14:schemeClr w14:val="tx1"/>
                  </w14:solidFill>
                </w14:textFill>
              </w:rPr>
              <w:t>This includes both 3a-1 with and without target CSI sharing.</w:t>
            </w:r>
          </w:p>
        </w:tc>
      </w:tr>
    </w:tbl>
    <w:p>
      <w:pPr>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hint="eastAsia" w:eastAsia="宋体"/>
          <w:b/>
          <w:bCs w:val="0"/>
          <w:color w:val="000000" w:themeColor="text1"/>
          <w:lang w:val="en-US" w:eastAsia="zh-CN"/>
          <w14:textFill>
            <w14:solidFill>
              <w14:schemeClr w14:val="tx1"/>
            </w14:solidFill>
          </w14:textFill>
        </w:rPr>
      </w:pPr>
      <w:r>
        <w:rPr>
          <w:rFonts w:hint="eastAsia" w:eastAsia="宋体"/>
          <w:b/>
          <w:bCs w:val="0"/>
          <w:color w:val="000000" w:themeColor="text1"/>
          <w:lang w:val="en-US" w:eastAsia="zh-CN"/>
          <w14:textFill>
            <w14:solidFill>
              <w14:schemeClr w14:val="tx1"/>
            </w14:solidFill>
          </w14:textFill>
        </w:rPr>
        <w:t>I</w:t>
      </w:r>
      <w:r>
        <w:rPr>
          <w:rFonts w:hint="eastAsia" w:eastAsia="宋体"/>
          <w:b/>
          <w:bCs w:val="0"/>
          <w:color w:val="000000" w:themeColor="text1"/>
          <w14:textFill>
            <w14:solidFill>
              <w14:schemeClr w14:val="tx1"/>
            </w14:solidFill>
          </w14:textFill>
        </w:rPr>
        <w:t>nter-vendor training collaboration</w:t>
      </w:r>
      <w:r>
        <w:rPr>
          <w:rFonts w:hint="eastAsia" w:eastAsia="宋体"/>
          <w:b/>
          <w:bCs w:val="0"/>
          <w:color w:val="000000" w:themeColor="text1"/>
          <w:lang w:val="en-US" w:eastAsia="zh-CN"/>
          <w14:textFill>
            <w14:solidFill>
              <w14:schemeClr w14:val="tx1"/>
            </w14:solidFill>
          </w14:textFill>
        </w:rPr>
        <w:t xml:space="preserve"> options</w:t>
      </w:r>
    </w:p>
    <w:p>
      <w:pPr>
        <w:overflowPunct w:val="0"/>
        <w:snapToGrid w:val="0"/>
        <w:spacing w:before="72" w:beforeLines="30" w:after="72" w:afterLines="30" w:line="288" w:lineRule="auto"/>
        <w:jc w:val="both"/>
        <w:rPr>
          <w:rFonts w:hint="eastAsia"/>
          <w:b w:val="0"/>
          <w:color w:val="000000" w:themeColor="text1"/>
          <w:szCs w:val="20"/>
          <w:lang w:val="en-US" w:eastAsia="zh-CN"/>
          <w14:textFill>
            <w14:solidFill>
              <w14:schemeClr w14:val="tx1"/>
            </w14:solidFill>
          </w14:textFill>
        </w:rPr>
      </w:pPr>
      <w:r>
        <w:rPr>
          <w:rFonts w:hint="eastAsia" w:eastAsia="宋体"/>
          <w:bCs/>
          <w:color w:val="000000" w:themeColor="text1"/>
          <w:lang w:val="en-US" w:eastAsia="zh-CN"/>
          <w14:textFill>
            <w14:solidFill>
              <w14:schemeClr w14:val="tx1"/>
            </w14:solidFill>
          </w14:textFill>
        </w:rPr>
        <w:t xml:space="preserve">To alleviate / resolve the issues related to inter-vendor training collaboration of AI/ML-based CSI compression using two-sided model, </w:t>
      </w:r>
      <w:r>
        <w:rPr>
          <w:rFonts w:hint="default" w:eastAsia="宋体"/>
          <w:bCs/>
          <w:color w:val="000000" w:themeColor="text1"/>
          <w:lang w:val="en-GB" w:eastAsia="en-US"/>
          <w14:textFill>
            <w14:solidFill>
              <w14:schemeClr w14:val="tx1"/>
            </w14:solidFill>
          </w14:textFill>
        </w:rPr>
        <w:t>Direction A Option 3a-1</w:t>
      </w:r>
      <w:r>
        <w:rPr>
          <w:rFonts w:hint="eastAsia" w:eastAsia="宋体"/>
          <w:bCs/>
          <w:color w:val="000000" w:themeColor="text1"/>
          <w:lang w:val="en-US" w:eastAsia="zh-CN"/>
          <w14:textFill>
            <w14:solidFill>
              <w14:schemeClr w14:val="tx1"/>
            </w14:solidFill>
          </w14:textFill>
        </w:rPr>
        <w:t xml:space="preserve"> is prioritized over </w:t>
      </w:r>
      <w:r>
        <w:rPr>
          <w:rFonts w:hint="default" w:eastAsia="宋体"/>
          <w:bCs/>
          <w:color w:val="000000" w:themeColor="text1"/>
          <w:lang w:val="en-GB" w:eastAsia="en-US"/>
          <w14:textFill>
            <w14:solidFill>
              <w14:schemeClr w14:val="tx1"/>
            </w14:solidFill>
          </w14:textFill>
        </w:rPr>
        <w:t xml:space="preserve">Direction A Option </w:t>
      </w:r>
      <w:r>
        <w:rPr>
          <w:rFonts w:hint="eastAsia" w:eastAsia="宋体"/>
          <w:bCs/>
          <w:color w:val="000000" w:themeColor="text1"/>
          <w:lang w:val="en-US" w:eastAsia="zh-CN"/>
          <w14:textFill>
            <w14:solidFill>
              <w14:schemeClr w14:val="tx1"/>
            </w14:solidFill>
          </w14:textFill>
        </w:rPr>
        <w:t>4</w:t>
      </w:r>
      <w:r>
        <w:rPr>
          <w:rFonts w:hint="default" w:eastAsia="宋体"/>
          <w:bCs/>
          <w:color w:val="000000" w:themeColor="text1"/>
          <w:lang w:val="en-GB" w:eastAsia="en-US"/>
          <w14:textFill>
            <w14:solidFill>
              <w14:schemeClr w14:val="tx1"/>
            </w14:solidFill>
          </w14:textFill>
        </w:rPr>
        <w:t>-1</w:t>
      </w:r>
      <w:r>
        <w:rPr>
          <w:rFonts w:hint="eastAsia" w:eastAsia="宋体"/>
          <w:bCs/>
          <w:color w:val="000000" w:themeColor="text1"/>
          <w:lang w:val="en-US" w:eastAsia="zh-CN"/>
          <w14:textFill>
            <w14:solidFill>
              <w14:schemeClr w14:val="tx1"/>
            </w14:solidFill>
          </w14:textFill>
        </w:rPr>
        <w:t xml:space="preserve">. For </w:t>
      </w:r>
      <w:r>
        <w:rPr>
          <w:rFonts w:hint="default" w:eastAsia="宋体"/>
          <w:bCs/>
          <w:color w:val="000000" w:themeColor="text1"/>
          <w:lang w:val="en-GB" w:eastAsia="en-US"/>
          <w14:textFill>
            <w14:solidFill>
              <w14:schemeClr w14:val="tx1"/>
            </w14:solidFill>
          </w14:textFill>
        </w:rPr>
        <w:t>Direction A Option 3a-1</w:t>
      </w:r>
      <w:r>
        <w:rPr>
          <w:rFonts w:hint="eastAsia" w:eastAsia="宋体"/>
          <w:bCs/>
          <w:color w:val="000000" w:themeColor="text1"/>
          <w:lang w:val="en-US" w:eastAsia="zh-CN"/>
          <w14:textFill>
            <w14:solidFill>
              <w14:schemeClr w14:val="tx1"/>
            </w14:solidFill>
          </w14:textFill>
        </w:rPr>
        <w:t xml:space="preserve">, a satisfactory performance can be achieved in the field according to simulations from companies. There is no or only minor performance loss due to data distribution mismatch or model structure scalability, and the specification effort for model structure standardization would be still acceptable, given that the baseline </w:t>
      </w:r>
      <w:r>
        <w:rPr>
          <w:rFonts w:hint="default" w:eastAsia="宋体"/>
          <w:bCs/>
          <w:color w:val="000000" w:themeColor="text1"/>
          <w:lang w:val="en-GB" w:eastAsia="ko-KR"/>
          <w14:textFill>
            <w14:solidFill>
              <w14:schemeClr w14:val="tx1"/>
            </w14:solidFill>
          </w14:textFill>
        </w:rPr>
        <w:t>model structure</w:t>
      </w:r>
      <w:r>
        <w:rPr>
          <w:rFonts w:hint="eastAsia" w:eastAsia="宋体"/>
          <w:bCs/>
          <w:color w:val="000000" w:themeColor="text1"/>
          <w:lang w:val="en-US" w:eastAsia="zh-CN"/>
          <w14:textFill>
            <w14:solidFill>
              <w14:schemeClr w14:val="tx1"/>
            </w14:solidFill>
          </w14:textFill>
        </w:rPr>
        <w:t xml:space="preserve"> and different alternatives for </w:t>
      </w:r>
      <w:r>
        <w:rPr>
          <w:rFonts w:hint="default" w:eastAsia="宋体"/>
          <w:bCs/>
          <w:color w:val="000000" w:themeColor="text1"/>
          <w:lang w:val="en-GB" w:eastAsia="en-US"/>
          <w14:textFill>
            <w14:solidFill>
              <w14:schemeClr w14:val="tx1"/>
            </w14:solidFill>
          </w14:textFill>
        </w:rPr>
        <w:t>model structure scalability</w:t>
      </w:r>
      <w:r>
        <w:rPr>
          <w:rFonts w:hint="eastAsia" w:eastAsia="宋体"/>
          <w:bCs/>
          <w:color w:val="000000" w:themeColor="text1"/>
          <w:lang w:val="en-US" w:eastAsia="zh-CN"/>
          <w14:textFill>
            <w14:solidFill>
              <w14:schemeClr w14:val="tx1"/>
            </w14:solidFill>
          </w14:textFill>
        </w:rPr>
        <w:t xml:space="preserve"> </w:t>
      </w:r>
      <w:r>
        <w:rPr>
          <w:rFonts w:hint="default" w:eastAsia="宋体"/>
          <w:bCs/>
          <w:color w:val="000000" w:themeColor="text1"/>
          <w:lang w:val="en-GB" w:eastAsia="en-US"/>
          <w14:textFill>
            <w14:solidFill>
              <w14:schemeClr w14:val="tx1"/>
            </w14:solidFill>
          </w14:textFill>
        </w:rPr>
        <w:t>over feature dimension</w:t>
      </w:r>
      <w:r>
        <w:rPr>
          <w:rFonts w:hint="eastAsia" w:eastAsia="宋体"/>
          <w:bCs/>
          <w:color w:val="000000" w:themeColor="text1"/>
          <w:lang w:val="en-US" w:eastAsia="zh-CN"/>
          <w14:textFill>
            <w14:solidFill>
              <w14:schemeClr w14:val="tx1"/>
            </w14:solidFill>
          </w14:textFill>
        </w:rPr>
        <w:t>,</w:t>
      </w:r>
      <w:r>
        <w:rPr>
          <w:rFonts w:hint="eastAsia" w:eastAsia="宋体"/>
          <w:bCs/>
          <w:color w:val="000000" w:themeColor="text1"/>
          <w14:textFill>
            <w14:solidFill>
              <w14:schemeClr w14:val="tx1"/>
            </w14:solidFill>
          </w14:textFill>
        </w:rPr>
        <w:t xml:space="preserve"> token dimension, and payload configuration</w:t>
      </w:r>
      <w:r>
        <w:rPr>
          <w:rFonts w:hint="eastAsia" w:eastAsia="宋体"/>
          <w:bCs/>
          <w:color w:val="000000" w:themeColor="text1"/>
          <w:lang w:val="en-US" w:eastAsia="zh-CN"/>
          <w14:textFill>
            <w14:solidFill>
              <w14:schemeClr w14:val="tx1"/>
            </w14:solidFill>
          </w14:textFill>
        </w:rPr>
        <w:t xml:space="preserve"> have been agreed in previous meetings. Additionally, as we clarified in Section 3.2.1, RAN1 and RAN4 can share the same standardized model structure for two-sided model of CSI compression to avoid the duplicated specification efforts, where the detailed specification and testing can be up to RAN4. While for </w:t>
      </w:r>
      <w:r>
        <w:rPr>
          <w:rFonts w:hint="default" w:eastAsia="宋体"/>
          <w:bCs/>
          <w:color w:val="000000" w:themeColor="text1"/>
          <w:lang w:val="en-GB" w:eastAsia="en-US"/>
          <w14:textFill>
            <w14:solidFill>
              <w14:schemeClr w14:val="tx1"/>
            </w14:solidFill>
          </w14:textFill>
        </w:rPr>
        <w:t xml:space="preserve">Direction A Option </w:t>
      </w:r>
      <w:r>
        <w:rPr>
          <w:rFonts w:hint="eastAsia" w:eastAsia="宋体"/>
          <w:bCs/>
          <w:color w:val="000000" w:themeColor="text1"/>
          <w:lang w:val="en-US" w:eastAsia="zh-CN"/>
          <w14:textFill>
            <w14:solidFill>
              <w14:schemeClr w14:val="tx1"/>
            </w14:solidFill>
          </w14:textFill>
        </w:rPr>
        <w:t>4</w:t>
      </w:r>
      <w:r>
        <w:rPr>
          <w:rFonts w:hint="default" w:eastAsia="宋体"/>
          <w:bCs/>
          <w:color w:val="000000" w:themeColor="text1"/>
          <w:lang w:val="en-GB" w:eastAsia="en-US"/>
          <w14:textFill>
            <w14:solidFill>
              <w14:schemeClr w14:val="tx1"/>
            </w14:solidFill>
          </w14:textFill>
        </w:rPr>
        <w:t>-1</w:t>
      </w:r>
      <w:r>
        <w:rPr>
          <w:rFonts w:hint="eastAsia" w:eastAsia="宋体"/>
          <w:bCs/>
          <w:color w:val="000000" w:themeColor="text1"/>
          <w:lang w:val="en-US" w:eastAsia="zh-CN"/>
          <w14:textFill>
            <w14:solidFill>
              <w14:schemeClr w14:val="tx1"/>
            </w14:solidFill>
          </w14:textFill>
        </w:rPr>
        <w:t xml:space="preserve">, the overhead </w:t>
      </w:r>
      <w:r>
        <w:rPr>
          <w:rFonts w:hint="eastAsia" w:eastAsia="宋体"/>
          <w:bCs/>
          <w:color w:val="000000" w:themeColor="text1"/>
          <w14:textFill>
            <w14:solidFill>
              <w14:schemeClr w14:val="tx1"/>
            </w14:solidFill>
          </w14:textFill>
        </w:rPr>
        <w:t>and resource consumption</w:t>
      </w:r>
      <w:r>
        <w:rPr>
          <w:rFonts w:hint="eastAsia" w:eastAsia="宋体"/>
          <w:bCs/>
          <w:color w:val="000000" w:themeColor="text1"/>
          <w:lang w:val="en-US" w:eastAsia="zh-CN"/>
          <w14:textFill>
            <w14:solidFill>
              <w14:schemeClr w14:val="tx1"/>
            </w14:solidFill>
          </w14:textFill>
        </w:rPr>
        <w:t xml:space="preserve"> for the exchange of the {target CSI, CSI feedback} dataset would be much larger than that of the encoder parameter for Option 3a-1. Additionally, the dataset privacy issues have not been well studied by other working groups, considering the dataset collected from a UE vendor is to be shared to other UE vendors. Therefore, we prefer to </w:t>
      </w:r>
      <w:r>
        <w:rPr>
          <w:rFonts w:hint="eastAsia"/>
          <w:b w:val="0"/>
          <w:color w:val="000000" w:themeColor="text1"/>
          <w:szCs w:val="20"/>
          <w:lang w:val="en-US" w:eastAsia="zh-CN"/>
          <w14:textFill>
            <w14:solidFill>
              <w14:schemeClr w14:val="tx1"/>
            </w14:solidFill>
          </w14:textFill>
        </w:rPr>
        <w:t xml:space="preserve">prioritize </w:t>
      </w:r>
      <w:r>
        <w:rPr>
          <w:rFonts w:hint="default"/>
          <w:b w:val="0"/>
          <w:color w:val="000000" w:themeColor="text1"/>
          <w:szCs w:val="20"/>
          <w:lang w:val="en-GB" w:eastAsia="en-US"/>
          <w14:textFill>
            <w14:solidFill>
              <w14:schemeClr w14:val="tx1"/>
            </w14:solidFill>
          </w14:textFill>
        </w:rPr>
        <w:t>Direction A Option 3a-1</w:t>
      </w:r>
      <w:r>
        <w:rPr>
          <w:rFonts w:hint="eastAsia"/>
          <w:b w:val="0"/>
          <w:color w:val="000000" w:themeColor="text1"/>
          <w:szCs w:val="20"/>
          <w:lang w:val="en-US" w:eastAsia="zh-CN"/>
          <w14:textFill>
            <w14:solidFill>
              <w14:schemeClr w14:val="tx1"/>
            </w14:solidFill>
          </w14:textFill>
        </w:rPr>
        <w:t xml:space="preserve"> over </w:t>
      </w:r>
      <w:r>
        <w:rPr>
          <w:rFonts w:hint="default"/>
          <w:b w:val="0"/>
          <w:color w:val="000000" w:themeColor="text1"/>
          <w:szCs w:val="20"/>
          <w:lang w:val="en-GB" w:eastAsia="en-US"/>
          <w14:textFill>
            <w14:solidFill>
              <w14:schemeClr w14:val="tx1"/>
            </w14:solidFill>
          </w14:textFill>
        </w:rPr>
        <w:t xml:space="preserve">Direction A Option </w:t>
      </w:r>
      <w:r>
        <w:rPr>
          <w:rFonts w:hint="eastAsia"/>
          <w:b w:val="0"/>
          <w:color w:val="000000" w:themeColor="text1"/>
          <w:szCs w:val="20"/>
          <w:lang w:val="en-US" w:eastAsia="zh-CN"/>
          <w14:textFill>
            <w14:solidFill>
              <w14:schemeClr w14:val="tx1"/>
            </w14:solidFill>
          </w14:textFill>
        </w:rPr>
        <w:t>4</w:t>
      </w:r>
      <w:r>
        <w:rPr>
          <w:rFonts w:hint="default"/>
          <w:b w:val="0"/>
          <w:color w:val="000000" w:themeColor="text1"/>
          <w:szCs w:val="20"/>
          <w:lang w:val="en-GB" w:eastAsia="en-US"/>
          <w14:textFill>
            <w14:solidFill>
              <w14:schemeClr w14:val="tx1"/>
            </w14:solidFill>
          </w14:textFill>
        </w:rPr>
        <w:t>-1</w:t>
      </w:r>
      <w:r>
        <w:rPr>
          <w:rFonts w:hint="eastAsia"/>
          <w:b w:val="0"/>
          <w:color w:val="000000" w:themeColor="text1"/>
          <w:szCs w:val="20"/>
          <w:lang w:val="en-US" w:eastAsia="zh-CN"/>
          <w14:textFill>
            <w14:solidFill>
              <w14:schemeClr w14:val="tx1"/>
            </w14:solidFill>
          </w14:textFill>
        </w:rPr>
        <w:t xml:space="preserve"> for the normative work.</w:t>
      </w:r>
    </w:p>
    <w:p>
      <w:pPr>
        <w:pStyle w:val="147"/>
        <w:numPr>
          <w:ilvl w:val="0"/>
          <w:numId w:val="0"/>
        </w:numPr>
        <w:snapToGrid w:val="0"/>
        <w:spacing w:before="72" w:after="72"/>
        <w:ind w:leftChars="0"/>
        <w:jc w:val="both"/>
        <w:rPr>
          <w:rFonts w:hint="default"/>
          <w:b w:val="0"/>
          <w:color w:val="000000" w:themeColor="text1"/>
          <w:szCs w:val="20"/>
          <w:lang w:val="en-US" w:eastAsia="zh-CN"/>
          <w14:textFill>
            <w14:solidFill>
              <w14:schemeClr w14:val="tx1"/>
            </w14:solidFill>
          </w14:textFill>
        </w:rPr>
      </w:pPr>
      <w:r>
        <w:rPr>
          <w:rFonts w:hint="eastAsia"/>
          <w:b/>
          <w:bCs w:val="0"/>
          <w:color w:val="000000" w:themeColor="text1"/>
          <w:szCs w:val="20"/>
          <w:lang w:val="en-US" w:eastAsia="zh-CN"/>
          <w14:textFill>
            <w14:solidFill>
              <w14:schemeClr w14:val="tx1"/>
            </w14:solidFill>
          </w14:textFill>
        </w:rPr>
        <w:t>Observation 1:</w:t>
      </w:r>
      <w:r>
        <w:rPr>
          <w:rFonts w:hint="eastAsia"/>
          <w:b w:val="0"/>
          <w:color w:val="000000" w:themeColor="text1"/>
          <w:szCs w:val="20"/>
          <w:lang w:val="en-US" w:eastAsia="zh-CN"/>
          <w14:textFill>
            <w14:solidFill>
              <w14:schemeClr w14:val="tx1"/>
            </w14:solidFill>
          </w14:textFill>
        </w:rPr>
        <w:t xml:space="preserve"> For </w:t>
      </w:r>
      <w:r>
        <w:rPr>
          <w:rFonts w:hint="default"/>
          <w:b w:val="0"/>
          <w:color w:val="000000" w:themeColor="text1"/>
          <w:szCs w:val="20"/>
          <w:lang w:val="en-GB" w:eastAsia="en-US"/>
          <w14:textFill>
            <w14:solidFill>
              <w14:schemeClr w14:val="tx1"/>
            </w14:solidFill>
          </w14:textFill>
        </w:rPr>
        <w:t xml:space="preserve">Direction A Option </w:t>
      </w:r>
      <w:r>
        <w:rPr>
          <w:rFonts w:hint="eastAsia"/>
          <w:b w:val="0"/>
          <w:color w:val="000000" w:themeColor="text1"/>
          <w:szCs w:val="20"/>
          <w:lang w:val="en-US" w:eastAsia="zh-CN"/>
          <w14:textFill>
            <w14:solidFill>
              <w14:schemeClr w14:val="tx1"/>
            </w14:solidFill>
          </w14:textFill>
        </w:rPr>
        <w:t>4</w:t>
      </w:r>
      <w:r>
        <w:rPr>
          <w:rFonts w:hint="default"/>
          <w:b w:val="0"/>
          <w:color w:val="000000" w:themeColor="text1"/>
          <w:szCs w:val="20"/>
          <w:lang w:val="en-GB" w:eastAsia="en-US"/>
          <w14:textFill>
            <w14:solidFill>
              <w14:schemeClr w14:val="tx1"/>
            </w14:solidFill>
          </w14:textFill>
        </w:rPr>
        <w:t>-1</w:t>
      </w:r>
      <w:r>
        <w:rPr>
          <w:rFonts w:hint="eastAsia"/>
          <w:b w:val="0"/>
          <w:color w:val="000000" w:themeColor="text1"/>
          <w:szCs w:val="20"/>
          <w:lang w:val="en-US" w:eastAsia="zh-CN"/>
          <w14:textFill>
            <w14:solidFill>
              <w14:schemeClr w14:val="tx1"/>
            </w14:solidFill>
          </w14:textFill>
        </w:rPr>
        <w:t>, the overhead and resource consumption for the exchange of the {target CSI, CSI feedback} dataset would be much larger than that of the encoder parameter for Option 3a-1, and the feasibility of dataset sharing acorss UE vendors have not been well studied by other working groups.</w:t>
      </w:r>
    </w:p>
    <w:p>
      <w:pPr>
        <w:pStyle w:val="147"/>
        <w:snapToGrid w:val="0"/>
        <w:spacing w:before="72" w:after="72"/>
        <w:jc w:val="both"/>
        <w:rPr>
          <w:rFonts w:hint="default"/>
          <w:b w:val="0"/>
          <w:color w:val="000000" w:themeColor="text1"/>
          <w:szCs w:val="20"/>
          <w:lang w:val="en-US" w:eastAsia="zh-CN"/>
          <w14:textFill>
            <w14:solidFill>
              <w14:schemeClr w14:val="tx1"/>
            </w14:solidFill>
          </w14:textFill>
        </w:rPr>
      </w:pPr>
      <w:r>
        <w:rPr>
          <w:rFonts w:hint="eastAsia"/>
          <w:b w:val="0"/>
          <w:color w:val="000000" w:themeColor="text1"/>
          <w:szCs w:val="20"/>
          <w:lang w:val="en-US" w:eastAsia="zh-CN"/>
          <w14:textFill>
            <w14:solidFill>
              <w14:schemeClr w14:val="tx1"/>
            </w14:solidFill>
          </w14:textFill>
        </w:rPr>
        <w:t>Regarding the i</w:t>
      </w:r>
      <w:r>
        <w:rPr>
          <w:rFonts w:hint="eastAsia"/>
          <w:b w:val="0"/>
          <w:color w:val="000000" w:themeColor="text1"/>
          <w:szCs w:val="20"/>
          <w:lang w:val="en-US"/>
          <w14:textFill>
            <w14:solidFill>
              <w14:schemeClr w14:val="tx1"/>
            </w14:solidFill>
          </w14:textFill>
        </w:rPr>
        <w:t>nter-vendor training collaboration</w:t>
      </w:r>
      <w:r>
        <w:rPr>
          <w:rFonts w:hint="eastAsia"/>
          <w:b w:val="0"/>
          <w:color w:val="000000" w:themeColor="text1"/>
          <w:szCs w:val="20"/>
          <w:lang w:val="en-US" w:eastAsia="zh-CN"/>
          <w14:textFill>
            <w14:solidFill>
              <w14:schemeClr w14:val="tx1"/>
            </w14:solidFill>
          </w14:textFill>
        </w:rPr>
        <w:t xml:space="preserve"> options, prioritize </w:t>
      </w:r>
      <w:r>
        <w:rPr>
          <w:rFonts w:hint="default"/>
          <w:b w:val="0"/>
          <w:color w:val="000000" w:themeColor="text1"/>
          <w:szCs w:val="20"/>
          <w:lang w:val="en-GB" w:eastAsia="en-US"/>
          <w14:textFill>
            <w14:solidFill>
              <w14:schemeClr w14:val="tx1"/>
            </w14:solidFill>
          </w14:textFill>
        </w:rPr>
        <w:t>Direction A Option 3a-1</w:t>
      </w:r>
      <w:r>
        <w:rPr>
          <w:rFonts w:hint="eastAsia"/>
          <w:b w:val="0"/>
          <w:color w:val="000000" w:themeColor="text1"/>
          <w:szCs w:val="20"/>
          <w:lang w:val="en-US" w:eastAsia="zh-CN"/>
          <w14:textFill>
            <w14:solidFill>
              <w14:schemeClr w14:val="tx1"/>
            </w14:solidFill>
          </w14:textFill>
        </w:rPr>
        <w:t xml:space="preserve"> over </w:t>
      </w:r>
      <w:r>
        <w:rPr>
          <w:rFonts w:hint="default"/>
          <w:b w:val="0"/>
          <w:color w:val="000000" w:themeColor="text1"/>
          <w:szCs w:val="20"/>
          <w:lang w:val="en-GB" w:eastAsia="en-US"/>
          <w14:textFill>
            <w14:solidFill>
              <w14:schemeClr w14:val="tx1"/>
            </w14:solidFill>
          </w14:textFill>
        </w:rPr>
        <w:t xml:space="preserve">Direction A Option </w:t>
      </w:r>
      <w:r>
        <w:rPr>
          <w:rFonts w:hint="eastAsia"/>
          <w:b w:val="0"/>
          <w:color w:val="000000" w:themeColor="text1"/>
          <w:szCs w:val="20"/>
          <w:lang w:val="en-US" w:eastAsia="zh-CN"/>
          <w14:textFill>
            <w14:solidFill>
              <w14:schemeClr w14:val="tx1"/>
            </w14:solidFill>
          </w14:textFill>
        </w:rPr>
        <w:t>4</w:t>
      </w:r>
      <w:r>
        <w:rPr>
          <w:rFonts w:hint="default"/>
          <w:b w:val="0"/>
          <w:color w:val="000000" w:themeColor="text1"/>
          <w:szCs w:val="20"/>
          <w:lang w:val="en-GB" w:eastAsia="en-US"/>
          <w14:textFill>
            <w14:solidFill>
              <w14:schemeClr w14:val="tx1"/>
            </w14:solidFill>
          </w14:textFill>
        </w:rPr>
        <w:t>-1</w:t>
      </w:r>
      <w:r>
        <w:rPr>
          <w:rFonts w:hint="eastAsia"/>
          <w:b w:val="0"/>
          <w:color w:val="000000" w:themeColor="text1"/>
          <w:szCs w:val="20"/>
          <w:lang w:val="en-US" w:eastAsia="zh-CN"/>
          <w14:textFill>
            <w14:solidFill>
              <w14:schemeClr w14:val="tx1"/>
            </w14:solidFill>
          </w14:textFill>
        </w:rPr>
        <w:t xml:space="preserve"> for the normative work.</w:t>
      </w:r>
    </w:p>
    <w:p>
      <w:pPr>
        <w:numPr>
          <w:ilvl w:val="0"/>
          <w:numId w:val="0"/>
        </w:numPr>
        <w:bidi w:val="0"/>
        <w:spacing w:after="200" w:line="276" w:lineRule="auto"/>
        <w:rPr>
          <w:rFonts w:hint="default" w:eastAsia="宋体"/>
          <w:b/>
          <w:bCs w:val="0"/>
          <w:color w:val="000000" w:themeColor="text1"/>
          <w:lang w:val="en-US" w:eastAsia="zh-CN"/>
          <w14:textFill>
            <w14:solidFill>
              <w14:schemeClr w14:val="tx1"/>
            </w14:solidFill>
          </w14:textFill>
        </w:rPr>
      </w:pPr>
    </w:p>
    <w:p>
      <w:pPr>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hint="eastAsia" w:eastAsia="宋体"/>
          <w:b/>
          <w:bCs w:val="0"/>
          <w:color w:val="000000" w:themeColor="text1"/>
          <w:lang w:val="en-US" w:eastAsia="zh-CN"/>
          <w14:textFill>
            <w14:solidFill>
              <w14:schemeClr w14:val="tx1"/>
            </w14:solidFill>
          </w14:textFill>
        </w:rPr>
      </w:pPr>
      <w:r>
        <w:rPr>
          <w:rFonts w:hint="eastAsia" w:eastAsia="宋体"/>
          <w:b/>
          <w:bCs w:val="0"/>
          <w:color w:val="000000" w:themeColor="text1"/>
          <w:lang w:val="en-US" w:eastAsia="zh-CN"/>
          <w14:textFill>
            <w14:solidFill>
              <w14:schemeClr w14:val="tx1"/>
            </w14:solidFill>
          </w14:textFill>
        </w:rPr>
        <w:t>Temporal domain aspects</w:t>
      </w:r>
    </w:p>
    <w:p>
      <w:pPr>
        <w:overflowPunct w:val="0"/>
        <w:snapToGrid w:val="0"/>
        <w:spacing w:before="72" w:beforeLines="30" w:after="72" w:afterLines="30" w:line="288" w:lineRule="auto"/>
        <w:jc w:val="both"/>
        <w:rPr>
          <w:rFonts w:hint="eastAsia" w:eastAsia="宋体"/>
          <w:bCs/>
          <w:color w:val="000000" w:themeColor="text1"/>
          <w:lang w:val="en-US" w:eastAsia="zh-CN"/>
          <w14:textFill>
            <w14:solidFill>
              <w14:schemeClr w14:val="tx1"/>
            </w14:solidFill>
          </w14:textFill>
        </w:rPr>
      </w:pPr>
      <w:r>
        <w:rPr>
          <w:rFonts w:hint="eastAsia" w:eastAsia="宋体"/>
          <w:bCs/>
          <w:color w:val="000000" w:themeColor="text1"/>
          <w:lang w:val="en-US" w:eastAsia="zh-CN"/>
          <w14:textFill>
            <w14:solidFill>
              <w14:schemeClr w14:val="tx1"/>
            </w14:solidFill>
          </w14:textFill>
        </w:rPr>
        <w:t>According to the agreement reached in RAN1#118 meeting, Case 2 and Case 3 are prioritized for temporal domain aspects of AI/ML-based CSI compression using two-sided model in Release 19. Compared with the respectively benchmarks, both cases yield valid performance improvements in terms of UPT performance. Case 2 targets to better recover the CSI at present slot via some past CSI information input into the AI/ML model at both UE side and NW side, while Case 3 applies CSI compression plus CSI prediction to further explore the performance gain over legacy feedback mode. For Case 2, UCI missing or partial CSI omission may incur model performance degradation since current CSI compression and reconstruction has strong dependency on integrated last CSI information. Additionally, Case 2 may not be applicable to aperiodic CSI, in which case there may be a long time interval between two aperiodic CSI triggering instances and thus the past CSI information may be outdated. From model complexity perspective, an extra module for time correlation extraction (e.g., LSTM) is incorporated into current spatial-frequency compression model for Case 2, which may further increase the model complexity if no other lightweight processing. While for Case 3 (e.g., legacy CSI prediction plus AI/ML CSI compression), there is only minor changes on model complexity compared with Case 0 by using the time instances as the token dimension. According to our preliminary simulations on temporal domain CSI compression Case 2 and Case 3</w:t>
      </w:r>
      <w:r>
        <w:rPr>
          <w:rFonts w:hint="eastAsia" w:eastAsia="宋体"/>
          <w:bCs/>
          <w:color w:val="000000" w:themeColor="text1"/>
          <w:vertAlign w:val="superscript"/>
          <w:lang w:val="en-US" w:eastAsia="zh-CN"/>
          <w14:textFill>
            <w14:solidFill>
              <w14:schemeClr w14:val="tx1"/>
            </w14:solidFill>
          </w14:textFill>
        </w:rPr>
        <w:t>[3]</w:t>
      </w:r>
      <w:r>
        <w:rPr>
          <w:rFonts w:hint="eastAsia" w:eastAsia="宋体"/>
          <w:bCs/>
          <w:color w:val="000000" w:themeColor="text1"/>
          <w:lang w:val="en-US" w:eastAsia="zh-CN"/>
          <w14:textFill>
            <w14:solidFill>
              <w14:schemeClr w14:val="tx1"/>
            </w14:solidFill>
          </w14:textFill>
        </w:rPr>
        <w:t>, temporal domain CSI compression Case 3 can achieve approximately 0.92%~5.65% SGCS gain for the 1st layer and 0.20%~6.67% SGCS gain for the 2nd layer compared with Case 2. This is because joint compression can further extract the correlation among multiple CSI instances and neglect some redundancy for refinement. Therefore, we propose to prioritize the study for temporal domain CSI compression Case 3.</w:t>
      </w:r>
    </w:p>
    <w:p>
      <w:pPr>
        <w:pStyle w:val="147"/>
        <w:numPr>
          <w:ilvl w:val="0"/>
          <w:numId w:val="0"/>
        </w:numPr>
        <w:snapToGrid w:val="0"/>
        <w:spacing w:before="72" w:after="72"/>
        <w:ind w:leftChars="0"/>
        <w:jc w:val="both"/>
        <w:rPr>
          <w:rFonts w:hint="default"/>
          <w:b w:val="0"/>
          <w:color w:val="000000" w:themeColor="text1"/>
          <w:szCs w:val="20"/>
          <w:lang w:val="en-US" w:eastAsia="zh-CN"/>
          <w14:textFill>
            <w14:solidFill>
              <w14:schemeClr w14:val="tx1"/>
            </w14:solidFill>
          </w14:textFill>
        </w:rPr>
      </w:pPr>
      <w:r>
        <w:rPr>
          <w:rFonts w:hint="eastAsia"/>
          <w:b/>
          <w:bCs w:val="0"/>
          <w:color w:val="000000" w:themeColor="text1"/>
          <w:szCs w:val="20"/>
          <w:lang w:val="en-US" w:eastAsia="zh-CN"/>
          <w14:textFill>
            <w14:solidFill>
              <w14:schemeClr w14:val="tx1"/>
            </w14:solidFill>
          </w14:textFill>
        </w:rPr>
        <w:t xml:space="preserve">Observation 2: </w:t>
      </w:r>
      <w:r>
        <w:rPr>
          <w:rFonts w:hint="eastAsia"/>
          <w:b w:val="0"/>
          <w:color w:val="000000" w:themeColor="text1"/>
          <w:szCs w:val="20"/>
          <w:lang w:val="en-US" w:eastAsia="zh-CN"/>
          <w14:textFill>
            <w14:solidFill>
              <w14:schemeClr w14:val="tx1"/>
            </w14:solidFill>
          </w14:textFill>
        </w:rPr>
        <w:t>Temporal domain CSI compression Case 2 would lead to model performance degradation due to UCI missing, partial CSI omission, or aperiodic CSI triggering, and significantly increase the model complexity due to the extra module for time correlation extraction (e.g., LSTM).</w:t>
      </w:r>
    </w:p>
    <w:p>
      <w:pPr>
        <w:pStyle w:val="147"/>
        <w:snapToGrid w:val="0"/>
        <w:spacing w:before="72" w:after="72"/>
        <w:jc w:val="both"/>
        <w:rPr>
          <w:rFonts w:hint="default"/>
          <w:b w:val="0"/>
          <w:color w:val="000000" w:themeColor="text1"/>
          <w:szCs w:val="20"/>
          <w:lang w:val="en-US" w:eastAsia="zh-CN"/>
          <w14:textFill>
            <w14:solidFill>
              <w14:schemeClr w14:val="tx1"/>
            </w14:solidFill>
          </w14:textFill>
        </w:rPr>
      </w:pPr>
      <w:r>
        <w:rPr>
          <w:rFonts w:hint="eastAsia"/>
          <w:b w:val="0"/>
          <w:color w:val="000000" w:themeColor="text1"/>
          <w:szCs w:val="20"/>
          <w:lang w:val="en-US" w:eastAsia="zh-CN"/>
          <w14:textFill>
            <w14:solidFill>
              <w14:schemeClr w14:val="tx1"/>
            </w14:solidFill>
          </w14:textFill>
        </w:rPr>
        <w:t>Regarding the temporal domain aspects of AI/ML-based CSI compression using two-sided model, prioritize Case 3 over Case 2 for the normative work.</w:t>
      </w:r>
    </w:p>
    <w:p>
      <w:pPr>
        <w:numPr>
          <w:ilvl w:val="0"/>
          <w:numId w:val="0"/>
        </w:numPr>
        <w:bidi w:val="0"/>
        <w:spacing w:after="200" w:line="276" w:lineRule="auto"/>
        <w:rPr>
          <w:rFonts w:hint="default" w:eastAsia="宋体"/>
          <w:b/>
          <w:bCs w:val="0"/>
          <w:color w:val="000000" w:themeColor="text1"/>
          <w:lang w:val="en-US" w:eastAsia="zh-CN"/>
          <w14:textFill>
            <w14:solidFill>
              <w14:schemeClr w14:val="tx1"/>
            </w14:solidFill>
          </w14:textFill>
        </w:rPr>
      </w:pPr>
    </w:p>
    <w:p>
      <w:pPr>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hint="default" w:eastAsia="宋体"/>
          <w:b/>
          <w:bCs w:val="0"/>
          <w:color w:val="000000" w:themeColor="text1"/>
          <w:lang w:val="en-US" w:eastAsia="zh-CN"/>
          <w14:textFill>
            <w14:solidFill>
              <w14:schemeClr w14:val="tx1"/>
            </w14:solidFill>
          </w14:textFill>
        </w:rPr>
      </w:pPr>
      <w:r>
        <w:rPr>
          <w:rFonts w:hint="eastAsia" w:eastAsia="宋体"/>
          <w:b/>
          <w:bCs w:val="0"/>
          <w:color w:val="000000" w:themeColor="text1"/>
          <w:lang w:val="en-US" w:eastAsia="zh-CN"/>
          <w14:textFill>
            <w14:solidFill>
              <w14:schemeClr w14:val="tx1"/>
            </w14:solidFill>
          </w14:textFill>
        </w:rPr>
        <w:t>P</w:t>
      </w:r>
      <w:r>
        <w:rPr>
          <w:rFonts w:hint="eastAsia" w:eastAsia="宋体"/>
          <w:b/>
          <w:bCs w:val="0"/>
          <w:color w:val="000000" w:themeColor="text1"/>
          <w:lang w:val="en-GB" w:eastAsia="zh-CN"/>
          <w14:textFill>
            <w14:solidFill>
              <w14:schemeClr w14:val="tx1"/>
            </w14:solidFill>
          </w14:textFill>
        </w:rPr>
        <w:t>otential specification impact</w:t>
      </w:r>
      <w:r>
        <w:rPr>
          <w:rFonts w:hint="eastAsia" w:eastAsia="宋体"/>
          <w:b/>
          <w:bCs w:val="0"/>
          <w:color w:val="000000" w:themeColor="text1"/>
          <w:lang w:val="en-US" w:eastAsia="zh-CN"/>
          <w14:textFill>
            <w14:solidFill>
              <w14:schemeClr w14:val="tx1"/>
            </w14:solidFill>
          </w14:textFill>
        </w:rPr>
        <w:t>s</w:t>
      </w:r>
    </w:p>
    <w:p>
      <w:pPr>
        <w:keepNext w:val="0"/>
        <w:keepLines w:val="0"/>
        <w:pageBreakBefore w:val="0"/>
        <w:widowControl/>
        <w:kinsoku/>
        <w:wordWrap/>
        <w:overflowPunct w:val="0"/>
        <w:topLinePunct w:val="0"/>
        <w:autoSpaceDE/>
        <w:autoSpaceDN/>
        <w:bidi w:val="0"/>
        <w:snapToGrid w:val="0"/>
        <w:spacing w:before="72" w:beforeLines="30" w:after="72" w:afterLines="30" w:line="288" w:lineRule="auto"/>
        <w:jc w:val="both"/>
        <w:textAlignment w:val="auto"/>
        <w:rPr>
          <w:rFonts w:hint="eastAsia" w:eastAsia="宋体"/>
          <w:bCs/>
          <w:color w:val="000000" w:themeColor="text1"/>
          <w:lang w:val="en-US" w:eastAsia="zh-CN"/>
          <w14:textFill>
            <w14:solidFill>
              <w14:schemeClr w14:val="tx1"/>
            </w14:solidFill>
          </w14:textFill>
        </w:rPr>
      </w:pPr>
      <w:r>
        <w:rPr>
          <w:rFonts w:hint="eastAsia" w:eastAsia="宋体"/>
          <w:bCs/>
          <w:color w:val="000000" w:themeColor="text1"/>
          <w:lang w:val="en-US" w:eastAsia="zh-CN"/>
          <w14:textFill>
            <w14:solidFill>
              <w14:schemeClr w14:val="tx1"/>
            </w14:solidFill>
          </w14:textFill>
        </w:rPr>
        <w:t xml:space="preserve">After Release-18 and Release-19 SI for CSI compression agenda item, all major issues have been thoroughly studied and some consensus has been reached by companies, especially for specification impacts. Therefore, based on the sufficient study outcomes, at least the following specification impacts are recommended to the normative work in Rel-20 scope. Specifically, the specification impacts involve four parts: data collection, model inference, performance monitoring and other issues. </w:t>
      </w:r>
    </w:p>
    <w:p>
      <w:pPr>
        <w:keepNext w:val="0"/>
        <w:keepLines w:val="0"/>
        <w:pageBreakBefore w:val="0"/>
        <w:widowControl/>
        <w:numPr>
          <w:ilvl w:val="0"/>
          <w:numId w:val="17"/>
        </w:numPr>
        <w:tabs>
          <w:tab w:val="clear" w:pos="-420"/>
        </w:tabs>
        <w:kinsoku/>
        <w:wordWrap/>
        <w:topLinePunct w:val="0"/>
        <w:autoSpaceDE/>
        <w:autoSpaceDN/>
        <w:bidi w:val="0"/>
        <w:adjustRightInd w:val="0"/>
        <w:snapToGrid w:val="0"/>
        <w:spacing w:before="72" w:beforeLines="30" w:after="72" w:afterLines="30" w:line="288" w:lineRule="auto"/>
        <w:ind w:left="420"/>
        <w:jc w:val="both"/>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data collection, at least the NW-side data collection for two-sided model training should be discussed, since NW side need to train a CSI reconstruction model compatible with diverse CSI generation models from UE vendors. Regarding the ground-truth CSI reporting from UEs, Rel-16 eType II codebook-based data format with higher resolution can be further considered due to the trade-off between the accuracy of ground-truth CSI and limited uplink transmission resources. In addition, the additional information regarding the training samples should be taken into account (e.g., data quality), since training data with poor quality would hinder the model performance in the practical deployment. </w:t>
      </w:r>
    </w:p>
    <w:p>
      <w:pPr>
        <w:keepNext w:val="0"/>
        <w:keepLines w:val="0"/>
        <w:pageBreakBefore w:val="0"/>
        <w:widowControl/>
        <w:numPr>
          <w:ilvl w:val="0"/>
          <w:numId w:val="17"/>
        </w:numPr>
        <w:tabs>
          <w:tab w:val="clear" w:pos="-420"/>
        </w:tabs>
        <w:kinsoku/>
        <w:wordWrap/>
        <w:topLinePunct w:val="0"/>
        <w:autoSpaceDE/>
        <w:autoSpaceDN/>
        <w:bidi w:val="0"/>
        <w:adjustRightInd w:val="0"/>
        <w:snapToGrid w:val="0"/>
        <w:spacing w:before="72" w:beforeLines="30" w:after="72" w:afterLines="30" w:line="288" w:lineRule="auto"/>
        <w:ind w:left="420"/>
        <w:jc w:val="both"/>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model inference, the model-related information, e.g., model input/output format, CSI report-related spec impacts should be considered. In detail, the CSI configuration and reporting is different from legacy mode, for example, the CSI payload size determination, quantization method/granularity should be aligned. Besides, CQI determination should be discussed as UE cannot be aware of the reconstructed CSI at NW side. Furthermore, CSI reporting principle has additional spec impact on priority rule regarding CSI collision handling and CSI omission. </w:t>
      </w:r>
    </w:p>
    <w:p>
      <w:pPr>
        <w:keepNext w:val="0"/>
        <w:keepLines w:val="0"/>
        <w:pageBreakBefore w:val="0"/>
        <w:widowControl/>
        <w:numPr>
          <w:ilvl w:val="0"/>
          <w:numId w:val="17"/>
        </w:numPr>
        <w:tabs>
          <w:tab w:val="clear" w:pos="-420"/>
        </w:tabs>
        <w:kinsoku/>
        <w:wordWrap/>
        <w:topLinePunct w:val="0"/>
        <w:autoSpaceDE/>
        <w:autoSpaceDN/>
        <w:bidi w:val="0"/>
        <w:adjustRightInd w:val="0"/>
        <w:snapToGrid w:val="0"/>
        <w:spacing w:before="72" w:beforeLines="30" w:after="72" w:afterLines="30" w:line="288" w:lineRule="auto"/>
        <w:ind w:left="420"/>
        <w:jc w:val="both"/>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performance monitoring, at least NW-side performance monitoring should be specified </w:t>
      </w:r>
      <w:r>
        <w:rPr>
          <w:rFonts w:hint="eastAsia" w:eastAsia="宋体"/>
          <w:color w:val="000000" w:themeColor="text1"/>
          <w:lang w:val="en-US" w:eastAsia="zh-CN"/>
          <w14:textFill>
            <w14:solidFill>
              <w14:schemeClr w14:val="tx1"/>
            </w14:solidFill>
          </w14:textFill>
        </w:rPr>
        <w:t xml:space="preserve">considering the </w:t>
      </w:r>
      <w:r>
        <w:rPr>
          <w:rFonts w:hint="eastAsia"/>
          <w:color w:val="000000" w:themeColor="text1"/>
          <w14:textFill>
            <w14:solidFill>
              <w14:schemeClr w14:val="tx1"/>
            </w14:solidFill>
          </w14:textFill>
        </w:rPr>
        <w:t xml:space="preserve">UE-side monitoring </w:t>
      </w:r>
      <w:r>
        <w:rPr>
          <w:rFonts w:hint="eastAsia" w:eastAsia="宋体"/>
          <w:color w:val="000000" w:themeColor="text1"/>
          <w:lang w:val="en-US" w:eastAsia="zh-CN"/>
          <w14:textFill>
            <w14:solidFill>
              <w14:schemeClr w14:val="tx1"/>
            </w14:solidFill>
          </w14:textFill>
        </w:rPr>
        <w:t>deficiency</w:t>
      </w:r>
      <w:r>
        <w:rPr>
          <w:rFonts w:hint="eastAsia"/>
          <w:color w:val="000000" w:themeColor="text1"/>
          <w14:textFill>
            <w14:solidFill>
              <w14:schemeClr w14:val="tx1"/>
            </w14:solidFill>
          </w14:textFill>
        </w:rPr>
        <w:t>. Likewise, the high-resolution ground-truth CSI reported from UEs as monitoring labels can be further considered. Additionally, the performance metrics should be down-selected, for example, SGCS can be applied to quantize the accuracy of CSI reconstruction based on plenty of previous simulation results.</w:t>
      </w:r>
    </w:p>
    <w:p>
      <w:pPr>
        <w:keepNext w:val="0"/>
        <w:keepLines w:val="0"/>
        <w:pageBreakBefore w:val="0"/>
        <w:widowControl/>
        <w:numPr>
          <w:ilvl w:val="0"/>
          <w:numId w:val="17"/>
        </w:numPr>
        <w:tabs>
          <w:tab w:val="clear" w:pos="-420"/>
        </w:tabs>
        <w:kinsoku/>
        <w:wordWrap/>
        <w:topLinePunct w:val="0"/>
        <w:autoSpaceDE/>
        <w:autoSpaceDN/>
        <w:bidi w:val="0"/>
        <w:adjustRightInd w:val="0"/>
        <w:snapToGrid w:val="0"/>
        <w:spacing w:before="72" w:beforeLines="30" w:after="72" w:afterLines="30" w:line="288" w:lineRule="auto"/>
        <w:ind w:left="420"/>
        <w:jc w:val="both"/>
        <w:textAlignment w:val="auto"/>
        <w:rPr>
          <w:rFonts w:hint="eastAsia"/>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For other issues</w:t>
      </w:r>
      <w:r>
        <w:rPr>
          <w:rFonts w:hint="eastAsia"/>
          <w:color w:val="000000" w:themeColor="text1"/>
          <w14:textFill>
            <w14:solidFill>
              <w14:schemeClr w14:val="tx1"/>
            </w14:solidFill>
          </w14:textFill>
        </w:rPr>
        <w:t>, some details</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should be further determined, e.g., model pairing related issues, LCM related issues. Another key issue is concerning AI/ML PU occupation rule and timeline due to the fact that AI/ML model processing may be operated on the dedicated hardware/software resources, which may be counted separately from legacy CPU. In addition, the inter-vendor collaboration related issues ought to be considered since some spec impacts on different inter-vendor collaboration methods, e.g., Direction A 3a-1 and Direction 4-1, have been identified during Rel-19 study phase. For example, model parameter/dataset exchange with performance target over the air will impact the current specification.</w:t>
      </w:r>
    </w:p>
    <w:p>
      <w:pPr>
        <w:pStyle w:val="147"/>
        <w:snapToGrid w:val="0"/>
        <w:spacing w:before="72" w:after="72"/>
        <w:jc w:val="both"/>
        <w:rPr>
          <w:rFonts w:hint="default"/>
          <w:b w:val="0"/>
          <w:color w:val="000000" w:themeColor="text1"/>
          <w:szCs w:val="20"/>
          <w:lang w:val="en-US" w:eastAsia="zh-CN"/>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b w:val="0"/>
          <w:color w:val="000000" w:themeColor="text1"/>
          <w:szCs w:val="20"/>
          <w:lang w:val="en-US" w:eastAsia="zh-CN"/>
          <w14:textFill>
            <w14:solidFill>
              <w14:schemeClr w14:val="tx1"/>
            </w14:solidFill>
          </w14:textFill>
        </w:rPr>
        <w:t xml:space="preserve">Regarding the potential specification impacts of AI/ML-based CSI compression using two-sided model, considering the followings for the normative work: </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hint="eastAsia" w:eastAsia="Times New Roman"/>
          <w:i/>
          <w:color w:val="000000" w:themeColor="text1"/>
          <w:lang w:val="en-GB"/>
          <w14:textFill>
            <w14:solidFill>
              <w14:schemeClr w14:val="tx1"/>
            </w14:solidFill>
          </w14:textFill>
        </w:rPr>
      </w:pPr>
      <w:r>
        <w:rPr>
          <w:rFonts w:hint="eastAsia" w:eastAsia="Times New Roman"/>
          <w:i/>
          <w:color w:val="000000" w:themeColor="text1"/>
          <w:lang w:val="en-GB"/>
          <w14:textFill>
            <w14:solidFill>
              <w14:schemeClr w14:val="tx1"/>
            </w14:solidFill>
          </w14:textFill>
        </w:rPr>
        <w:t>Data collection, e.g., ground-truth CSI reporting with higher resolution, quality based data omission</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hint="eastAsia" w:eastAsia="Times New Roman"/>
          <w:i/>
          <w:color w:val="000000" w:themeColor="text1"/>
          <w:lang w:val="en-GB"/>
          <w14:textFill>
            <w14:solidFill>
              <w14:schemeClr w14:val="tx1"/>
            </w14:solidFill>
          </w14:textFill>
        </w:rPr>
      </w:pPr>
      <w:r>
        <w:rPr>
          <w:rFonts w:hint="eastAsia" w:eastAsia="Times New Roman"/>
          <w:i/>
          <w:color w:val="000000" w:themeColor="text1"/>
          <w:lang w:val="en-GB"/>
          <w14:textFill>
            <w14:solidFill>
              <w14:schemeClr w14:val="tx1"/>
            </w14:solidFill>
          </w14:textFill>
        </w:rPr>
        <w:t>Model inference, e.g., enhancements on CSI report framework, CSI processing criteria</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hint="eastAsia" w:eastAsia="Times New Roman"/>
          <w:i/>
          <w:color w:val="000000" w:themeColor="text1"/>
          <w:lang w:val="en-GB"/>
          <w14:textFill>
            <w14:solidFill>
              <w14:schemeClr w14:val="tx1"/>
            </w14:solidFill>
          </w14:textFill>
        </w:rPr>
      </w:pPr>
      <w:r>
        <w:rPr>
          <w:rFonts w:hint="eastAsia" w:eastAsia="Times New Roman"/>
          <w:i/>
          <w:color w:val="000000" w:themeColor="text1"/>
          <w:lang w:val="en-GB"/>
          <w14:textFill>
            <w14:solidFill>
              <w14:schemeClr w14:val="tx1"/>
            </w14:solidFill>
          </w14:textFill>
        </w:rPr>
        <w:t>Performance monitoring, e.g., performance metrics, monitoring report mechanism</w:t>
      </w:r>
      <w:r>
        <w:rPr>
          <w:rFonts w:hint="eastAsia" w:eastAsia="宋体"/>
          <w:i/>
          <w:color w:val="000000" w:themeColor="text1"/>
          <w:lang w:val="en-US" w:eastAsia="zh-CN"/>
          <w14:textFill>
            <w14:solidFill>
              <w14:schemeClr w14:val="tx1"/>
            </w14:solidFill>
          </w14:textFill>
        </w:rPr>
        <w:t>s</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hint="eastAsia" w:eastAsia="Times New Roman"/>
          <w:i/>
          <w:color w:val="000000" w:themeColor="text1"/>
          <w:lang w:val="en-GB"/>
          <w14:textFill>
            <w14:solidFill>
              <w14:schemeClr w14:val="tx1"/>
            </w14:solidFill>
          </w14:textFill>
        </w:rPr>
      </w:pPr>
      <w:r>
        <w:rPr>
          <w:rFonts w:hint="eastAsia" w:eastAsia="Times New Roman"/>
          <w:i/>
          <w:color w:val="000000" w:themeColor="text1"/>
          <w:lang w:val="en-GB"/>
          <w14:textFill>
            <w14:solidFill>
              <w14:schemeClr w14:val="tx1"/>
            </w14:solidFill>
          </w14:textFill>
        </w:rPr>
        <w:t xml:space="preserve">Other issues, e.g., </w:t>
      </w:r>
      <w:r>
        <w:rPr>
          <w:rFonts w:hint="eastAsia" w:eastAsia="宋体"/>
          <w:i/>
          <w:color w:val="000000" w:themeColor="text1"/>
          <w:lang w:val="en-US" w:eastAsia="zh-CN"/>
          <w14:textFill>
            <w14:solidFill>
              <w14:schemeClr w14:val="tx1"/>
            </w14:solidFill>
          </w14:textFill>
        </w:rPr>
        <w:t xml:space="preserve">model pairing, </w:t>
      </w:r>
      <w:r>
        <w:rPr>
          <w:rFonts w:hint="eastAsia" w:eastAsia="Times New Roman"/>
          <w:i/>
          <w:color w:val="000000" w:themeColor="text1"/>
          <w:lang w:val="en-GB"/>
          <w14:textFill>
            <w14:solidFill>
              <w14:schemeClr w14:val="tx1"/>
            </w14:solidFill>
          </w14:textFill>
        </w:rPr>
        <w:t>APU occupation, model loading/processing timeline</w:t>
      </w:r>
    </w:p>
    <w:p>
      <w:pPr>
        <w:snapToGrid w:val="0"/>
        <w:spacing w:before="72" w:beforeLines="30" w:after="72" w:afterLines="30" w:line="288" w:lineRule="auto"/>
        <w:jc w:val="both"/>
        <w:rPr>
          <w:rFonts w:eastAsiaTheme="minorEastAsia"/>
          <w:bCs/>
          <w:i/>
          <w:color w:val="000000" w:themeColor="text1"/>
          <w14:textFill>
            <w14:solidFill>
              <w14:schemeClr w14:val="tx1"/>
            </w14:solidFill>
          </w14:textFill>
        </w:rPr>
      </w:pPr>
    </w:p>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color w:val="000000" w:themeColor="text1"/>
          <w:sz w:val="28"/>
          <w:szCs w:val="28"/>
          <w14:textFill>
            <w14:solidFill>
              <w14:schemeClr w14:val="tx1"/>
            </w14:solidFill>
          </w14:textFill>
        </w:rPr>
      </w:pPr>
      <w:r>
        <w:rPr>
          <w:rFonts w:hint="eastAsia" w:eastAsia="宋体"/>
          <w:b/>
          <w:color w:val="000000" w:themeColor="text1"/>
          <w:sz w:val="28"/>
          <w:szCs w:val="28"/>
          <w14:textFill>
            <w14:solidFill>
              <w14:schemeClr w14:val="tx1"/>
            </w14:solidFill>
          </w14:textFill>
        </w:rPr>
        <w:t>Inter-vendor training collaboration</w:t>
      </w:r>
    </w:p>
    <w:p>
      <w:pPr>
        <w:numPr>
          <w:ilvl w:val="1"/>
          <w:numId w:val="10"/>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Analysis on the three directions of inter-vendor training collaboration</w:t>
      </w:r>
    </w:p>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hint="eastAsia" w:eastAsia="宋体"/>
          <w:bCs/>
          <w:color w:val="000000" w:themeColor="text1"/>
          <w14:textFill>
            <w14:solidFill>
              <w14:schemeClr w14:val="tx1"/>
            </w14:solidFill>
          </w14:textFill>
        </w:rPr>
        <w:t>In RAN1#118 meeting, for guiding the feasib</w:t>
      </w:r>
      <w:r>
        <w:rPr>
          <w:rFonts w:eastAsia="宋体"/>
          <w:bCs/>
          <w:color w:val="000000" w:themeColor="text1"/>
          <w14:textFill>
            <w14:solidFill>
              <w14:schemeClr w14:val="tx1"/>
            </w14:solidFill>
          </w14:textFill>
        </w:rPr>
        <w:t>ility</w:t>
      </w:r>
      <w:r>
        <w:rPr>
          <w:rFonts w:hint="eastAsia" w:eastAsia="宋体"/>
          <w:bCs/>
          <w:color w:val="000000" w:themeColor="text1"/>
          <w14:textFill>
            <w14:solidFill>
              <w14:schemeClr w14:val="tx1"/>
            </w14:solidFill>
          </w14:textFill>
        </w:rPr>
        <w:t xml:space="preserve"> study of different options for inter-vendor training collaboration, options 1, 3, 4, and 5a were further categorized as Direction A with UE-side offline engineering, Direction B with on-device operation, and Direction C with fully standardized reference model. In RAN1#118b meeting, due to strong concerns on NW proprietary information disclosure issues, all options in Direction A except 4-1 and 3a-1 were deprioritized. In the following, we provide our analysis on each of the three directions, respectively.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overflowPunct w:val="0"/>
              <w:autoSpaceDE w:val="0"/>
              <w:autoSpaceDN w:val="0"/>
              <w:adjustRightInd w:val="0"/>
              <w:snapToGrid w:val="0"/>
              <w:spacing w:before="72" w:beforeLines="30" w:after="72" w:afterLines="30" w:line="288" w:lineRule="auto"/>
              <w:textAlignment w:val="baseline"/>
              <w:rPr>
                <w:rFonts w:eastAsia="等线"/>
                <w:b/>
                <w:color w:val="000000" w:themeColor="text1"/>
                <w:szCs w:val="20"/>
                <w:u w:val="single"/>
                <w14:textFill>
                  <w14:solidFill>
                    <w14:schemeClr w14:val="tx1"/>
                  </w14:solidFill>
                </w14:textFill>
              </w:rPr>
            </w:pPr>
            <w:r>
              <w:rPr>
                <w:rFonts w:eastAsia="等线"/>
                <w:b/>
                <w:color w:val="000000" w:themeColor="text1"/>
                <w:szCs w:val="20"/>
                <w:u w:val="single"/>
                <w14:textFill>
                  <w14:solidFill>
                    <w14:schemeClr w14:val="tx1"/>
                  </w14:solidFill>
                </w14:textFill>
              </w:rPr>
              <w:t>Agreement</w:t>
            </w:r>
          </w:p>
          <w:p>
            <w:pPr>
              <w:overflowPunct w:val="0"/>
              <w:autoSpaceDE w:val="0"/>
              <w:autoSpaceDN w:val="0"/>
              <w:adjustRightInd w:val="0"/>
              <w:snapToGrid w:val="0"/>
              <w:spacing w:before="72" w:beforeLines="30" w:after="72" w:afterLines="30" w:line="288" w:lineRule="auto"/>
              <w:textAlignment w:val="baseline"/>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 xml:space="preserve">Continue the study of </w:t>
            </w:r>
            <w:r>
              <w:rPr>
                <w:rFonts w:eastAsia="等线"/>
                <w:color w:val="000000" w:themeColor="text1"/>
                <w:szCs w:val="20"/>
                <w14:textFill>
                  <w14:solidFill>
                    <w14:schemeClr w14:val="tx1"/>
                  </w14:solidFill>
                </w14:textFill>
              </w:rPr>
              <w:t>following</w:t>
            </w:r>
            <w:r>
              <w:rPr>
                <w:color w:val="000000" w:themeColor="text1"/>
                <w:szCs w:val="20"/>
                <w:lang w:eastAsia="en-US"/>
                <w14:textFill>
                  <w14:solidFill>
                    <w14:schemeClr w14:val="tx1"/>
                  </w14:solidFill>
                </w14:textFill>
              </w:rPr>
              <w:t xml:space="preserve"> directions - on-device operation and UE side offline engineering </w:t>
            </w:r>
          </w:p>
          <w:p>
            <w:pPr>
              <w:numPr>
                <w:ilvl w:val="0"/>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hint="eastAsia" w:eastAsia="宋体"/>
                <w:color w:val="000000" w:themeColor="text1"/>
                <w:szCs w:val="20"/>
                <w14:textFill>
                  <w14:solidFill>
                    <w14:schemeClr w14:val="tx1"/>
                  </w14:solidFill>
                </w14:textFill>
              </w:rPr>
              <w:t>Direction A</w:t>
            </w:r>
            <w:r>
              <w:rPr>
                <w:color w:val="000000" w:themeColor="text1"/>
                <w:szCs w:val="20"/>
                <w:lang w:eastAsia="en-US"/>
                <w14:textFill>
                  <w14:solidFill>
                    <w14:schemeClr w14:val="tx1"/>
                  </w14:solidFill>
                </w14:textFill>
              </w:rPr>
              <w:t>: Sharing parameters</w:t>
            </w:r>
            <w:r>
              <w:rPr>
                <w:rFonts w:eastAsia="等线"/>
                <w:color w:val="000000" w:themeColor="text1"/>
                <w:szCs w:val="20"/>
                <w14:textFill>
                  <w14:solidFill>
                    <w14:schemeClr w14:val="tx1"/>
                  </w14:solidFill>
                </w14:textFill>
              </w:rPr>
              <w:t>/reference model</w:t>
            </w:r>
            <w:r>
              <w:rPr>
                <w:color w:val="000000" w:themeColor="text1"/>
                <w:szCs w:val="20"/>
                <w:lang w:eastAsia="en-US"/>
                <w14:textFill>
                  <w14:solidFill>
                    <w14:schemeClr w14:val="tx1"/>
                  </w14:solidFill>
                </w14:textFill>
              </w:rPr>
              <w:t>/dataset that enables UE-side offline engineering (</w:t>
            </w:r>
            <w:r>
              <w:rPr>
                <w:rFonts w:eastAsia="等线"/>
                <w:color w:val="000000" w:themeColor="text1"/>
                <w:szCs w:val="20"/>
                <w14:textFill>
                  <w14:solidFill>
                    <w14:schemeClr w14:val="tx1"/>
                  </w14:solidFill>
                </w14:textFill>
              </w:rPr>
              <w:t xml:space="preserve">Inter vendor collaboration option </w:t>
            </w:r>
            <w:r>
              <w:rPr>
                <w:color w:val="000000" w:themeColor="text1"/>
                <w:szCs w:val="20"/>
                <w:lang w:eastAsia="en-US"/>
                <w14:textFill>
                  <w14:solidFill>
                    <w14:schemeClr w14:val="tx1"/>
                  </w14:solidFill>
                </w14:textFill>
              </w:rPr>
              <w:t>3a</w:t>
            </w:r>
            <w:r>
              <w:rPr>
                <w:rFonts w:eastAsia="等线"/>
                <w:color w:val="000000" w:themeColor="text1"/>
                <w:szCs w:val="20"/>
                <w14:textFill>
                  <w14:solidFill>
                    <w14:schemeClr w14:val="tx1"/>
                  </w14:solidFill>
                </w14:textFill>
              </w:rPr>
              <w:t>/5a/</w:t>
            </w:r>
            <w:r>
              <w:rPr>
                <w:color w:val="000000" w:themeColor="text1"/>
                <w:szCs w:val="20"/>
                <w:lang w:eastAsia="en-US"/>
                <w14:textFill>
                  <w14:solidFill>
                    <w14:schemeClr w14:val="tx1"/>
                  </w14:solidFill>
                </w14:textFill>
              </w:rPr>
              <w:t>4)</w:t>
            </w:r>
          </w:p>
          <w:p>
            <w:pPr>
              <w:numPr>
                <w:ilvl w:val="1"/>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eastAsia="等线"/>
                <w:color w:val="000000" w:themeColor="text1"/>
                <w:szCs w:val="20"/>
                <w14:textFill>
                  <w14:solidFill>
                    <w14:schemeClr w14:val="tx1"/>
                  </w14:solidFill>
                </w14:textFill>
              </w:rPr>
              <w:t xml:space="preserve">Potential </w:t>
            </w:r>
            <w:r>
              <w:rPr>
                <w:color w:val="000000" w:themeColor="text1"/>
                <w:szCs w:val="20"/>
                <w:lang w:eastAsia="en-US"/>
                <w14:textFill>
                  <w14:solidFill>
                    <w14:schemeClr w14:val="tx1"/>
                  </w14:solidFill>
                </w14:textFill>
              </w:rPr>
              <w:t xml:space="preserve">down-selection into one or more among </w:t>
            </w:r>
            <w:r>
              <w:rPr>
                <w:rFonts w:hint="eastAsia" w:eastAsia="宋体"/>
                <w:color w:val="000000" w:themeColor="text1"/>
                <w:szCs w:val="20"/>
                <w14:textFill>
                  <w14:solidFill>
                    <w14:schemeClr w14:val="tx1"/>
                  </w14:solidFill>
                </w14:textFill>
              </w:rPr>
              <w:t>option</w:t>
            </w:r>
            <w:r>
              <w:rPr>
                <w:color w:val="000000" w:themeColor="text1"/>
                <w:szCs w:val="20"/>
                <w:lang w:eastAsia="en-US"/>
                <w14:textFill>
                  <w14:solidFill>
                    <w14:schemeClr w14:val="tx1"/>
                  </w14:solidFill>
                </w14:textFill>
              </w:rPr>
              <w:t>s 3a</w:t>
            </w:r>
            <w:r>
              <w:rPr>
                <w:rFonts w:eastAsia="等线"/>
                <w:color w:val="000000" w:themeColor="text1"/>
                <w:szCs w:val="20"/>
                <w14:textFill>
                  <w14:solidFill>
                    <w14:schemeClr w14:val="tx1"/>
                  </w14:solidFill>
                </w14:textFill>
              </w:rPr>
              <w:t>/5a</w:t>
            </w:r>
            <w:r>
              <w:rPr>
                <w:color w:val="000000" w:themeColor="text1"/>
                <w:szCs w:val="20"/>
                <w:lang w:eastAsia="en-US"/>
                <w14:textFill>
                  <w14:solidFill>
                    <w14:schemeClr w14:val="tx1"/>
                  </w14:solidFill>
                </w14:textFill>
              </w:rPr>
              <w:t>-1, 3a</w:t>
            </w:r>
            <w:r>
              <w:rPr>
                <w:rFonts w:eastAsia="等线"/>
                <w:color w:val="000000" w:themeColor="text1"/>
                <w:szCs w:val="20"/>
                <w14:textFill>
                  <w14:solidFill>
                    <w14:schemeClr w14:val="tx1"/>
                  </w14:solidFill>
                </w14:textFill>
              </w:rPr>
              <w:t>/5a</w:t>
            </w:r>
            <w:r>
              <w:rPr>
                <w:color w:val="000000" w:themeColor="text1"/>
                <w:szCs w:val="20"/>
                <w:lang w:eastAsia="en-US"/>
                <w14:textFill>
                  <w14:solidFill>
                    <w14:schemeClr w14:val="tx1"/>
                  </w14:solidFill>
                </w14:textFill>
              </w:rPr>
              <w:t>-2, 3a</w:t>
            </w:r>
            <w:r>
              <w:rPr>
                <w:rFonts w:eastAsia="等线"/>
                <w:color w:val="000000" w:themeColor="text1"/>
                <w:szCs w:val="20"/>
                <w14:textFill>
                  <w14:solidFill>
                    <w14:schemeClr w14:val="tx1"/>
                  </w14:solidFill>
                </w14:textFill>
              </w:rPr>
              <w:t>/5a</w:t>
            </w:r>
            <w:r>
              <w:rPr>
                <w:color w:val="000000" w:themeColor="text1"/>
                <w:szCs w:val="20"/>
                <w:lang w:eastAsia="en-US"/>
                <w14:textFill>
                  <w14:solidFill>
                    <w14:schemeClr w14:val="tx1"/>
                  </w14:solidFill>
                </w14:textFill>
              </w:rPr>
              <w:t>-3, 4-1, 4-2, and 4-3 considering their feasibility and performance</w:t>
            </w:r>
            <w:r>
              <w:rPr>
                <w:rFonts w:eastAsia="等线"/>
                <w:color w:val="000000" w:themeColor="text1"/>
                <w:szCs w:val="20"/>
                <w14:textFill>
                  <w14:solidFill>
                    <w14:schemeClr w14:val="tx1"/>
                  </w14:solidFill>
                </w14:textFill>
              </w:rPr>
              <w:t>, including at least the following issues</w:t>
            </w:r>
          </w:p>
          <w:p>
            <w:pPr>
              <w:numPr>
                <w:ilvl w:val="2"/>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eastAsia="等线"/>
                <w:color w:val="000000" w:themeColor="text1"/>
                <w:szCs w:val="20"/>
                <w14:textFill>
                  <w14:solidFill>
                    <w14:schemeClr w14:val="tx1"/>
                  </w14:solidFill>
                </w14:textFill>
              </w:rPr>
              <w:t>[Issue 1] W</w:t>
            </w:r>
            <w:r>
              <w:rPr>
                <w:color w:val="000000" w:themeColor="text1"/>
                <w:szCs w:val="20"/>
                <w:lang w:eastAsia="en-US"/>
                <w14:textFill>
                  <w14:solidFill>
                    <w14:schemeClr w14:val="tx1"/>
                  </w14:solidFill>
                </w14:textFill>
              </w:rPr>
              <w:t>hat additional information should be shared from NW-side to UE-side to enable UE-side encoder training, validation, and testing</w:t>
            </w:r>
            <w:r>
              <w:rPr>
                <w:rFonts w:eastAsia="等线"/>
                <w:color w:val="000000" w:themeColor="text1"/>
                <w:szCs w:val="20"/>
                <w14:textFill>
                  <w14:solidFill>
                    <w14:schemeClr w14:val="tx1"/>
                  </w14:solidFill>
                </w14:textFill>
              </w:rPr>
              <w:t xml:space="preserve">? </w:t>
            </w:r>
          </w:p>
          <w:p>
            <w:pPr>
              <w:numPr>
                <w:ilvl w:val="2"/>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eastAsia="等线"/>
                <w:color w:val="000000" w:themeColor="text1"/>
                <w:szCs w:val="20"/>
                <w14:textFill>
                  <w14:solidFill>
                    <w14:schemeClr w14:val="tx1"/>
                  </w14:solidFill>
                </w14:textFill>
              </w:rPr>
              <w:t>[Issue 2] I</w:t>
            </w:r>
            <w:r>
              <w:rPr>
                <w:color w:val="000000" w:themeColor="text1"/>
                <w:szCs w:val="20"/>
                <w:lang w:eastAsia="en-US"/>
                <w14:textFill>
                  <w14:solidFill>
                    <w14:schemeClr w14:val="tx1"/>
                  </w14:solidFill>
                </w14:textFill>
              </w:rPr>
              <w:t>s there concern for NW’s proprietary information disclosure, and if so, how to address it</w:t>
            </w:r>
            <w:r>
              <w:rPr>
                <w:rFonts w:eastAsia="等线"/>
                <w:color w:val="000000" w:themeColor="text1"/>
                <w:szCs w:val="20"/>
                <w14:textFill>
                  <w14:solidFill>
                    <w14:schemeClr w14:val="tx1"/>
                  </w14:solidFill>
                </w14:textFill>
              </w:rPr>
              <w:t>?</w:t>
            </w:r>
          </w:p>
          <w:p>
            <w:pPr>
              <w:numPr>
                <w:ilvl w:val="2"/>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w:t>
            </w:r>
            <w:r>
              <w:rPr>
                <w:rFonts w:eastAsia="等线"/>
                <w:color w:val="000000" w:themeColor="text1"/>
                <w:szCs w:val="20"/>
                <w14:textFill>
                  <w14:solidFill>
                    <w14:schemeClr w14:val="tx1"/>
                  </w14:solidFill>
                </w14:textFill>
              </w:rPr>
              <w:t>Issue 3</w:t>
            </w:r>
            <w:r>
              <w:rPr>
                <w:color w:val="000000" w:themeColor="text1"/>
                <w:szCs w:val="20"/>
                <w:lang w:eastAsia="en-US"/>
                <w14:textFill>
                  <w14:solidFill>
                    <w14:schemeClr w14:val="tx1"/>
                  </w14:solidFill>
                </w14:textFill>
              </w:rPr>
              <w:t xml:space="preserve">] </w:t>
            </w:r>
            <w:r>
              <w:rPr>
                <w:rFonts w:eastAsia="等线"/>
                <w:color w:val="000000" w:themeColor="text1"/>
                <w:szCs w:val="20"/>
                <w14:textFill>
                  <w14:solidFill>
                    <w14:schemeClr w14:val="tx1"/>
                  </w14:solidFill>
                </w14:textFill>
              </w:rPr>
              <w:t>Is there</w:t>
            </w:r>
            <w:r>
              <w:rPr>
                <w:color w:val="000000" w:themeColor="text1"/>
                <w:szCs w:val="20"/>
                <w:lang w:eastAsia="en-US"/>
                <w14:textFill>
                  <w14:solidFill>
                    <w14:schemeClr w14:val="tx1"/>
                  </w14:solidFill>
                </w14:textFill>
              </w:rPr>
              <w:t xml:space="preserve"> an overhead concern</w:t>
            </w:r>
            <w:r>
              <w:rPr>
                <w:rFonts w:eastAsia="等线"/>
                <w:color w:val="000000" w:themeColor="text1"/>
                <w:szCs w:val="20"/>
                <w14:textFill>
                  <w14:solidFill>
                    <w14:schemeClr w14:val="tx1"/>
                  </w14:solidFill>
                </w14:textFill>
              </w:rPr>
              <w:t xml:space="preserve">, </w:t>
            </w:r>
            <w:r>
              <w:rPr>
                <w:color w:val="000000" w:themeColor="text1"/>
                <w:szCs w:val="20"/>
                <w:lang w:eastAsia="en-US"/>
                <w14:textFill>
                  <w14:solidFill>
                    <w14:schemeClr w14:val="tx1"/>
                  </w14:solidFill>
                </w14:textFill>
              </w:rPr>
              <w:t>and if so, how to address it</w:t>
            </w:r>
            <w:r>
              <w:rPr>
                <w:rFonts w:eastAsia="等线"/>
                <w:color w:val="000000" w:themeColor="text1"/>
                <w:szCs w:val="20"/>
                <w14:textFill>
                  <w14:solidFill>
                    <w14:schemeClr w14:val="tx1"/>
                  </w14:solidFill>
                </w14:textFill>
              </w:rPr>
              <w:t>?</w:t>
            </w:r>
          </w:p>
          <w:p>
            <w:pPr>
              <w:numPr>
                <w:ilvl w:val="2"/>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eastAsia="等线"/>
                <w:color w:val="000000" w:themeColor="text1"/>
                <w:szCs w:val="20"/>
                <w14:textFill>
                  <w14:solidFill>
                    <w14:schemeClr w14:val="tx1"/>
                  </w14:solidFill>
                </w14:textFill>
              </w:rPr>
              <w:t>[Issue 4] Is there performance impact due to mismatch between NW side data distribution and UE side data distribution, and if so, how to address it?</w:t>
            </w:r>
          </w:p>
          <w:p>
            <w:pPr>
              <w:numPr>
                <w:ilvl w:val="0"/>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hint="eastAsia" w:eastAsia="宋体"/>
                <w:color w:val="000000" w:themeColor="text1"/>
                <w:szCs w:val="20"/>
                <w14:textFill>
                  <w14:solidFill>
                    <w14:schemeClr w14:val="tx1"/>
                  </w14:solidFill>
                </w14:textFill>
              </w:rPr>
              <w:t>Direction B</w:t>
            </w:r>
            <w:r>
              <w:rPr>
                <w:color w:val="000000" w:themeColor="text1"/>
                <w:szCs w:val="20"/>
                <w:lang w:eastAsia="en-US"/>
                <w14:textFill>
                  <w14:solidFill>
                    <w14:schemeClr w14:val="tx1"/>
                  </w14:solidFill>
                </w14:textFill>
              </w:rPr>
              <w:t>: Sharing NW side encoder parameter to UE side for UE side inference directly with on-device operation (</w:t>
            </w:r>
            <w:r>
              <w:rPr>
                <w:rFonts w:eastAsia="宋体"/>
                <w:color w:val="000000" w:themeColor="text1"/>
                <w:szCs w:val="20"/>
                <w:lang w:eastAsia="en-US"/>
                <w14:textFill>
                  <w14:solidFill>
                    <w14:schemeClr w14:val="tx1"/>
                  </w14:solidFill>
                </w14:textFill>
              </w:rPr>
              <w:t xml:space="preserve">Inter vendor collaboration option </w:t>
            </w:r>
            <w:r>
              <w:rPr>
                <w:color w:val="000000" w:themeColor="text1"/>
                <w:szCs w:val="20"/>
                <w:lang w:eastAsia="en-US"/>
                <w14:textFill>
                  <w14:solidFill>
                    <w14:schemeClr w14:val="tx1"/>
                  </w14:solidFill>
                </w14:textFill>
              </w:rPr>
              <w:t>3b)</w:t>
            </w:r>
            <w:r>
              <w:rPr>
                <w:rFonts w:eastAsia="宋体"/>
                <w:color w:val="000000" w:themeColor="text1"/>
                <w:szCs w:val="20"/>
                <w:lang w:eastAsia="en-US"/>
                <w14:textFill>
                  <w14:solidFill>
                    <w14:schemeClr w14:val="tx1"/>
                  </w14:solidFill>
                </w14:textFill>
              </w:rPr>
              <w:t>, including at least the following issues</w:t>
            </w:r>
          </w:p>
          <w:p>
            <w:pPr>
              <w:numPr>
                <w:ilvl w:val="1"/>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w:t>
            </w:r>
            <w:r>
              <w:rPr>
                <w:rFonts w:eastAsia="宋体"/>
                <w:color w:val="000000" w:themeColor="text1"/>
                <w:szCs w:val="20"/>
                <w:lang w:eastAsia="en-US"/>
                <w14:textFill>
                  <w14:solidFill>
                    <w14:schemeClr w14:val="tx1"/>
                  </w14:solidFill>
                </w14:textFill>
              </w:rPr>
              <w:t>Issue 3</w:t>
            </w:r>
            <w:r>
              <w:rPr>
                <w:color w:val="000000" w:themeColor="text1"/>
                <w:szCs w:val="20"/>
                <w:lang w:eastAsia="en-US"/>
                <w14:textFill>
                  <w14:solidFill>
                    <w14:schemeClr w14:val="tx1"/>
                  </w14:solidFill>
                </w14:textFill>
              </w:rPr>
              <w:t xml:space="preserve">] </w:t>
            </w:r>
            <w:r>
              <w:rPr>
                <w:rFonts w:eastAsia="宋体"/>
                <w:color w:val="000000" w:themeColor="text1"/>
                <w:szCs w:val="20"/>
                <w:lang w:eastAsia="en-US"/>
                <w14:textFill>
                  <w14:solidFill>
                    <w14:schemeClr w14:val="tx1"/>
                  </w14:solidFill>
                </w14:textFill>
              </w:rPr>
              <w:t>Is there</w:t>
            </w:r>
            <w:r>
              <w:rPr>
                <w:color w:val="000000" w:themeColor="text1"/>
                <w:szCs w:val="20"/>
                <w:lang w:eastAsia="en-US"/>
                <w14:textFill>
                  <w14:solidFill>
                    <w14:schemeClr w14:val="tx1"/>
                  </w14:solidFill>
                </w14:textFill>
              </w:rPr>
              <w:t xml:space="preserve"> an overhead concern</w:t>
            </w:r>
            <w:r>
              <w:rPr>
                <w:rFonts w:eastAsia="宋体"/>
                <w:color w:val="000000" w:themeColor="text1"/>
                <w:szCs w:val="20"/>
                <w:lang w:eastAsia="en-US"/>
                <w14:textFill>
                  <w14:solidFill>
                    <w14:schemeClr w14:val="tx1"/>
                  </w14:solidFill>
                </w14:textFill>
              </w:rPr>
              <w:t xml:space="preserve">, </w:t>
            </w:r>
            <w:r>
              <w:rPr>
                <w:color w:val="000000" w:themeColor="text1"/>
                <w:szCs w:val="20"/>
                <w:lang w:eastAsia="en-US"/>
                <w14:textFill>
                  <w14:solidFill>
                    <w14:schemeClr w14:val="tx1"/>
                  </w14:solidFill>
                </w14:textFill>
              </w:rPr>
              <w:t>and if so, how to address it</w:t>
            </w:r>
            <w:r>
              <w:rPr>
                <w:rFonts w:eastAsia="宋体"/>
                <w:color w:val="000000" w:themeColor="text1"/>
                <w:szCs w:val="20"/>
                <w:lang w:eastAsia="en-US"/>
                <w14:textFill>
                  <w14:solidFill>
                    <w14:schemeClr w14:val="tx1"/>
                  </w14:solidFill>
                </w14:textFill>
              </w:rPr>
              <w:t>?</w:t>
            </w:r>
          </w:p>
          <w:p>
            <w:pPr>
              <w:numPr>
                <w:ilvl w:val="1"/>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 xml:space="preserve">[Issue 5] </w:t>
            </w:r>
            <w:r>
              <w:rPr>
                <w:rFonts w:eastAsia="等线"/>
                <w:color w:val="000000" w:themeColor="text1"/>
                <w:szCs w:val="20"/>
                <w14:textFill>
                  <w14:solidFill>
                    <w14:schemeClr w14:val="tx1"/>
                  </w14:solidFill>
                </w14:textFill>
              </w:rPr>
              <w:t>W</w:t>
            </w:r>
            <w:r>
              <w:rPr>
                <w:color w:val="000000" w:themeColor="text1"/>
                <w:szCs w:val="20"/>
                <w:lang w:eastAsia="en-US"/>
                <w14:textFill>
                  <w14:solidFill>
                    <w14:schemeClr w14:val="tx1"/>
                  </w14:solidFill>
                </w14:textFill>
              </w:rPr>
              <w:t xml:space="preserve">hether it is feasible to use a common encoder across </w:t>
            </w:r>
            <w:r>
              <w:rPr>
                <w:rFonts w:eastAsia="等线"/>
                <w:color w:val="000000" w:themeColor="text1"/>
                <w:szCs w:val="20"/>
                <w14:textFill>
                  <w14:solidFill>
                    <w14:schemeClr w14:val="tx1"/>
                  </w14:solidFill>
                </w14:textFill>
              </w:rPr>
              <w:t>UEs</w:t>
            </w:r>
            <w:r>
              <w:rPr>
                <w:color w:val="000000" w:themeColor="text1"/>
                <w:szCs w:val="20"/>
                <w:lang w:eastAsia="en-US"/>
                <w14:textFill>
                  <w14:solidFill>
                    <w14:schemeClr w14:val="tx1"/>
                  </w14:solidFill>
                </w14:textFill>
              </w:rPr>
              <w:t>, and whether it is feasible for NW-side to train multiple encoders</w:t>
            </w:r>
            <w:r>
              <w:rPr>
                <w:rFonts w:eastAsia="等线"/>
                <w:color w:val="000000" w:themeColor="text1"/>
                <w:szCs w:val="20"/>
                <w14:textFill>
                  <w14:solidFill>
                    <w14:schemeClr w14:val="tx1"/>
                  </w14:solidFill>
                </w14:textFill>
              </w:rPr>
              <w:t xml:space="preserve"> for different UEs?</w:t>
            </w:r>
            <w:r>
              <w:rPr>
                <w:color w:val="000000" w:themeColor="text1"/>
                <w:szCs w:val="20"/>
                <w:lang w:eastAsia="en-US"/>
                <w14:textFill>
                  <w14:solidFill>
                    <w14:schemeClr w14:val="tx1"/>
                  </w14:solidFill>
                </w14:textFill>
              </w:rPr>
              <w:t xml:space="preserve"> </w:t>
            </w:r>
          </w:p>
          <w:p>
            <w:pPr>
              <w:numPr>
                <w:ilvl w:val="1"/>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eastAsia="等线"/>
                <w:color w:val="000000" w:themeColor="text1"/>
                <w:szCs w:val="20"/>
                <w14:textFill>
                  <w14:solidFill>
                    <w14:schemeClr w14:val="tx1"/>
                  </w14:solidFill>
                </w14:textFill>
              </w:rPr>
              <w:t>[Issue 6] Is there performance impact due to mismatch between NW side data distribution and UE side inference data distribution, and if so, how to address it?</w:t>
            </w:r>
            <w:r>
              <w:rPr>
                <w:color w:val="000000" w:themeColor="text1"/>
                <w:szCs w:val="20"/>
                <w:lang w:eastAsia="en-US"/>
                <w14:textFill>
                  <w14:solidFill>
                    <w14:schemeClr w14:val="tx1"/>
                  </w14:solidFill>
                </w14:textFill>
              </w:rPr>
              <w:t xml:space="preserve"> </w:t>
            </w:r>
          </w:p>
          <w:p>
            <w:pPr>
              <w:numPr>
                <w:ilvl w:val="1"/>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eastAsia="宋体"/>
                <w:color w:val="000000" w:themeColor="text1"/>
                <w:szCs w:val="20"/>
                <w:lang w:eastAsia="en-US"/>
                <w14:textFill>
                  <w14:solidFill>
                    <w14:schemeClr w14:val="tx1"/>
                  </w14:solidFill>
                </w14:textFill>
              </w:rPr>
              <w:t xml:space="preserve">[Issue </w:t>
            </w:r>
            <w:r>
              <w:rPr>
                <w:rFonts w:eastAsia="等线"/>
                <w:color w:val="000000" w:themeColor="text1"/>
                <w:szCs w:val="20"/>
                <w14:textFill>
                  <w14:solidFill>
                    <w14:schemeClr w14:val="tx1"/>
                  </w14:solidFill>
                </w14:textFill>
              </w:rPr>
              <w:t>7</w:t>
            </w:r>
            <w:r>
              <w:rPr>
                <w:rFonts w:eastAsia="宋体"/>
                <w:color w:val="000000" w:themeColor="text1"/>
                <w:szCs w:val="20"/>
                <w:lang w:eastAsia="en-US"/>
                <w14:textFill>
                  <w14:solidFill>
                    <w14:schemeClr w14:val="tx1"/>
                  </w14:solidFill>
                </w14:textFill>
              </w:rPr>
              <w:t>] I</w:t>
            </w:r>
            <w:r>
              <w:rPr>
                <w:color w:val="000000" w:themeColor="text1"/>
                <w:szCs w:val="20"/>
                <w:lang w:eastAsia="en-US"/>
                <w14:textFill>
                  <w14:solidFill>
                    <w14:schemeClr w14:val="tx1"/>
                  </w14:solidFill>
                </w14:textFill>
              </w:rPr>
              <w:t>s there concern for NW’s</w:t>
            </w:r>
            <w:r>
              <w:rPr>
                <w:rFonts w:eastAsia="等线"/>
                <w:color w:val="000000" w:themeColor="text1"/>
                <w:szCs w:val="20"/>
                <w14:textFill>
                  <w14:solidFill>
                    <w14:schemeClr w14:val="tx1"/>
                  </w14:solidFill>
                </w14:textFill>
              </w:rPr>
              <w:t xml:space="preserve"> and UE’s</w:t>
            </w:r>
            <w:r>
              <w:rPr>
                <w:color w:val="000000" w:themeColor="text1"/>
                <w:szCs w:val="20"/>
                <w:lang w:eastAsia="en-US"/>
                <w14:textFill>
                  <w14:solidFill>
                    <w14:schemeClr w14:val="tx1"/>
                  </w14:solidFill>
                </w14:textFill>
              </w:rPr>
              <w:t xml:space="preserve"> proprietary information disclosure, and if so, how to address it</w:t>
            </w:r>
            <w:r>
              <w:rPr>
                <w:rFonts w:eastAsia="宋体"/>
                <w:color w:val="000000" w:themeColor="text1"/>
                <w:szCs w:val="20"/>
                <w:lang w:eastAsia="en-US"/>
                <w14:textFill>
                  <w14:solidFill>
                    <w14:schemeClr w14:val="tx1"/>
                  </w14:solidFill>
                </w14:textFill>
              </w:rPr>
              <w:t>?</w:t>
            </w:r>
          </w:p>
          <w:p>
            <w:pPr>
              <w:numPr>
                <w:ilvl w:val="0"/>
                <w:numId w:val="19"/>
              </w:numPr>
              <w:snapToGrid w:val="0"/>
              <w:spacing w:before="72" w:beforeLines="30" w:after="72" w:afterLines="30" w:line="288" w:lineRule="auto"/>
              <w:rPr>
                <w:strike/>
                <w:color w:val="000000" w:themeColor="text1"/>
                <w:szCs w:val="20"/>
                <w14:textFill>
                  <w14:solidFill>
                    <w14:schemeClr w14:val="tx1"/>
                  </w14:solidFill>
                </w14:textFill>
              </w:rPr>
            </w:pPr>
            <w:r>
              <w:rPr>
                <w:rFonts w:hint="eastAsia" w:eastAsia="宋体"/>
                <w:color w:val="000000" w:themeColor="text1"/>
                <w:szCs w:val="20"/>
                <w14:textFill>
                  <w14:solidFill>
                    <w14:schemeClr w14:val="tx1"/>
                  </w14:solidFill>
                </w14:textFill>
              </w:rPr>
              <w:t>Direction C</w:t>
            </w:r>
            <w:r>
              <w:rPr>
                <w:color w:val="000000" w:themeColor="text1"/>
                <w:szCs w:val="20"/>
                <w14:textFill>
                  <w14:solidFill>
                    <w14:schemeClr w14:val="tx1"/>
                  </w14:solidFill>
                </w14:textFill>
              </w:rPr>
              <w:t>: Fully standardized reference model(s) and parameters with specified CSI generation part and/or CSI reconstruction part (</w:t>
            </w:r>
            <w:r>
              <w:rPr>
                <w:rFonts w:eastAsia="等线"/>
                <w:color w:val="000000" w:themeColor="text1"/>
                <w:szCs w:val="20"/>
                <w14:textFill>
                  <w14:solidFill>
                    <w14:schemeClr w14:val="tx1"/>
                  </w14:solidFill>
                </w14:textFill>
              </w:rPr>
              <w:t>Inter vendor collaboration option 1), including at least the following issues</w:t>
            </w:r>
          </w:p>
          <w:p>
            <w:pPr>
              <w:numPr>
                <w:ilvl w:val="1"/>
                <w:numId w:val="19"/>
              </w:numPr>
              <w:snapToGrid w:val="0"/>
              <w:spacing w:before="72" w:beforeLines="30" w:after="72" w:afterLines="30" w:line="288" w:lineRule="auto"/>
              <w:rPr>
                <w:color w:val="000000" w:themeColor="text1"/>
                <w:szCs w:val="20"/>
                <w14:textFill>
                  <w14:solidFill>
                    <w14:schemeClr w14:val="tx1"/>
                  </w14:solidFill>
                </w14:textFill>
              </w:rPr>
            </w:pPr>
            <w:r>
              <w:rPr>
                <w:color w:val="000000" w:themeColor="text1"/>
                <w:szCs w:val="20"/>
                <w14:textFill>
                  <w14:solidFill>
                    <w14:schemeClr w14:val="tx1"/>
                  </w14:solidFill>
                </w14:textFill>
              </w:rPr>
              <w:t xml:space="preserve">[Issue 8] </w:t>
            </w:r>
            <w:r>
              <w:rPr>
                <w:rFonts w:eastAsia="等线"/>
                <w:color w:val="000000" w:themeColor="text1"/>
                <w:szCs w:val="20"/>
                <w14:textFill>
                  <w14:solidFill>
                    <w14:schemeClr w14:val="tx1"/>
                  </w14:solidFill>
                </w14:textFill>
              </w:rPr>
              <w:t>W</w:t>
            </w:r>
            <w:r>
              <w:rPr>
                <w:color w:val="000000" w:themeColor="text1"/>
                <w:szCs w:val="20"/>
                <w14:textFill>
                  <w14:solidFill>
                    <w14:schemeClr w14:val="tx1"/>
                  </w14:solidFill>
                </w14:textFill>
              </w:rPr>
              <w:t>hether to consider 3GPP’s statistical channel model or field data for reference model(s) training. In case of the latter, how does RAN1 collect field data and agree on them?</w:t>
            </w:r>
          </w:p>
          <w:p>
            <w:pPr>
              <w:numPr>
                <w:ilvl w:val="1"/>
                <w:numId w:val="19"/>
              </w:numPr>
              <w:snapToGrid w:val="0"/>
              <w:spacing w:before="72" w:beforeLines="30" w:after="72" w:afterLines="30" w:line="288" w:lineRule="auto"/>
              <w:rPr>
                <w:color w:val="000000" w:themeColor="text1"/>
                <w:szCs w:val="20"/>
                <w14:textFill>
                  <w14:solidFill>
                    <w14:schemeClr w14:val="tx1"/>
                  </w14:solidFill>
                </w14:textFill>
              </w:rPr>
            </w:pPr>
            <w:r>
              <w:rPr>
                <w:color w:val="000000" w:themeColor="text1"/>
                <w:szCs w:val="20"/>
                <w14:textFill>
                  <w14:solidFill>
                    <w14:schemeClr w14:val="tx1"/>
                  </w14:solidFill>
                </w14:textFill>
              </w:rPr>
              <w:t>[Issue 9] I</w:t>
            </w:r>
            <w:r>
              <w:rPr>
                <w:rFonts w:eastAsia="等线"/>
                <w:color w:val="000000" w:themeColor="text1"/>
                <w:szCs w:val="20"/>
                <w14:textFill>
                  <w14:solidFill>
                    <w14:schemeClr w14:val="tx1"/>
                  </w14:solidFill>
                </w14:textFill>
              </w:rPr>
              <w:t xml:space="preserve">s there performance impact due to mismatch between the distribution of the dataset used for reference model(s) training, UE-side data distribution, and NW-side data distribution, and if so, how to address it? </w:t>
            </w:r>
          </w:p>
          <w:p>
            <w:pPr>
              <w:numPr>
                <w:ilvl w:val="1"/>
                <w:numId w:val="19"/>
              </w:numPr>
              <w:snapToGrid w:val="0"/>
              <w:spacing w:before="72" w:beforeLines="30" w:after="72" w:afterLines="30" w:line="288" w:lineRule="auto"/>
              <w:rPr>
                <w:color w:val="000000" w:themeColor="text1"/>
                <w:szCs w:val="20"/>
                <w14:textFill>
                  <w14:solidFill>
                    <w14:schemeClr w14:val="tx1"/>
                  </w14:solidFill>
                </w14:textFill>
              </w:rPr>
            </w:pPr>
            <w:r>
              <w:rPr>
                <w:rFonts w:eastAsia="等线"/>
                <w:color w:val="000000" w:themeColor="text1"/>
                <w:szCs w:val="20"/>
                <w14:textFill>
                  <w14:solidFill>
                    <w14:schemeClr w14:val="tx1"/>
                  </w14:solidFill>
                </w14:textFill>
              </w:rPr>
              <w:t>[Issue 10] W</w:t>
            </w:r>
            <w:r>
              <w:rPr>
                <w:color w:val="000000" w:themeColor="text1"/>
                <w:szCs w:val="20"/>
                <w:lang w:eastAsia="en-US"/>
                <w14:textFill>
                  <w14:solidFill>
                    <w14:schemeClr w14:val="tx1"/>
                  </w14:solidFill>
                </w14:textFill>
              </w:rPr>
              <w:t xml:space="preserve">hat additional information should be specified to enable UE-side encoder training, validation, and testing, and </w:t>
            </w:r>
            <w:r>
              <w:rPr>
                <w:rFonts w:eastAsia="等线"/>
                <w:color w:val="000000" w:themeColor="text1"/>
                <w:szCs w:val="20"/>
                <w14:textFill>
                  <w14:solidFill>
                    <w14:schemeClr w14:val="tx1"/>
                  </w14:solidFill>
                </w14:textFill>
              </w:rPr>
              <w:t>N</w:t>
            </w:r>
            <w:r>
              <w:rPr>
                <w:color w:val="000000" w:themeColor="text1"/>
                <w:szCs w:val="20"/>
                <w:lang w:eastAsia="en-US"/>
                <w14:textFill>
                  <w14:solidFill>
                    <w14:schemeClr w14:val="tx1"/>
                  </w14:solidFill>
                </w14:textFill>
              </w:rPr>
              <w:t>W-side decoder training, validation, and testing</w:t>
            </w:r>
            <w:r>
              <w:rPr>
                <w:rFonts w:eastAsia="等线"/>
                <w:color w:val="000000" w:themeColor="text1"/>
                <w:szCs w:val="20"/>
                <w14:textFill>
                  <w14:solidFill>
                    <w14:schemeClr w14:val="tx1"/>
                  </w14:solidFill>
                </w14:textFill>
              </w:rPr>
              <w:t>?</w:t>
            </w:r>
          </w:p>
          <w:p>
            <w:pPr>
              <w:numPr>
                <w:ilvl w:val="1"/>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 xml:space="preserve">Note: </w:t>
            </w:r>
          </w:p>
          <w:p>
            <w:pPr>
              <w:numPr>
                <w:ilvl w:val="2"/>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1-1: Only reference encoder is specified, and NW-side and</w:t>
            </w:r>
            <w:r>
              <w:rPr>
                <w:rFonts w:eastAsia="等线"/>
                <w:color w:val="000000" w:themeColor="text1"/>
                <w:szCs w:val="20"/>
                <w14:textFill>
                  <w14:solidFill>
                    <w14:schemeClr w14:val="tx1"/>
                  </w14:solidFill>
                </w14:textFill>
              </w:rPr>
              <w:t>/or</w:t>
            </w:r>
            <w:r>
              <w:rPr>
                <w:color w:val="000000" w:themeColor="text1"/>
                <w:szCs w:val="20"/>
                <w:lang w:eastAsia="en-US"/>
                <w14:textFill>
                  <w14:solidFill>
                    <w14:schemeClr w14:val="tx1"/>
                  </w14:solidFill>
                </w14:textFill>
              </w:rPr>
              <w:t xml:space="preserve"> UE-side may train their actual CSI generation part and </w:t>
            </w:r>
            <w:r>
              <w:rPr>
                <w:rFonts w:eastAsia="等线"/>
                <w:color w:val="000000" w:themeColor="text1"/>
                <w:szCs w:val="20"/>
                <w14:textFill>
                  <w14:solidFill>
                    <w14:schemeClr w14:val="tx1"/>
                  </w14:solidFill>
                </w14:textFill>
              </w:rPr>
              <w:t>actual CSI</w:t>
            </w:r>
            <w:r>
              <w:rPr>
                <w:color w:val="000000" w:themeColor="text1"/>
                <w:szCs w:val="20"/>
                <w:lang w:eastAsia="en-US"/>
                <w14:textFill>
                  <w14:solidFill>
                    <w14:schemeClr w14:val="tx1"/>
                  </w14:solidFill>
                </w14:textFill>
              </w:rPr>
              <w:t>-reconst</w:t>
            </w:r>
            <w:r>
              <w:rPr>
                <w:rFonts w:eastAsia="等线"/>
                <w:color w:val="000000" w:themeColor="text1"/>
                <w:szCs w:val="20"/>
                <w14:textFill>
                  <w14:solidFill>
                    <w14:schemeClr w14:val="tx1"/>
                  </w14:solidFill>
                </w14:textFill>
              </w:rPr>
              <w:t>ruc</w:t>
            </w:r>
            <w:r>
              <w:rPr>
                <w:color w:val="000000" w:themeColor="text1"/>
                <w:szCs w:val="20"/>
                <w:lang w:eastAsia="en-US"/>
                <w14:textFill>
                  <w14:solidFill>
                    <w14:schemeClr w14:val="tx1"/>
                  </w14:solidFill>
                </w14:textFill>
              </w:rPr>
              <w:t>tion part separately compatible to the reference encoder.</w:t>
            </w:r>
          </w:p>
          <w:p>
            <w:pPr>
              <w:numPr>
                <w:ilvl w:val="2"/>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1-2: Only reference decoder is specified, and NW-side and</w:t>
            </w:r>
            <w:r>
              <w:rPr>
                <w:rFonts w:eastAsia="等线"/>
                <w:color w:val="000000" w:themeColor="text1"/>
                <w:szCs w:val="20"/>
                <w14:textFill>
                  <w14:solidFill>
                    <w14:schemeClr w14:val="tx1"/>
                  </w14:solidFill>
                </w14:textFill>
              </w:rPr>
              <w:t>/or</w:t>
            </w:r>
            <w:r>
              <w:rPr>
                <w:color w:val="000000" w:themeColor="text1"/>
                <w:szCs w:val="20"/>
                <w:lang w:eastAsia="en-US"/>
                <w14:textFill>
                  <w14:solidFill>
                    <w14:schemeClr w14:val="tx1"/>
                  </w14:solidFill>
                </w14:textFill>
              </w:rPr>
              <w:t xml:space="preserve"> UE-side may train their actual CSI generation part and </w:t>
            </w:r>
            <w:r>
              <w:rPr>
                <w:rFonts w:eastAsia="等线"/>
                <w:color w:val="000000" w:themeColor="text1"/>
                <w:szCs w:val="20"/>
                <w14:textFill>
                  <w14:solidFill>
                    <w14:schemeClr w14:val="tx1"/>
                  </w14:solidFill>
                </w14:textFill>
              </w:rPr>
              <w:t>actual CSI</w:t>
            </w:r>
            <w:r>
              <w:rPr>
                <w:color w:val="000000" w:themeColor="text1"/>
                <w:szCs w:val="20"/>
                <w:lang w:eastAsia="en-US"/>
                <w14:textFill>
                  <w14:solidFill>
                    <w14:schemeClr w14:val="tx1"/>
                  </w14:solidFill>
                </w14:textFill>
              </w:rPr>
              <w:t>-reconst</w:t>
            </w:r>
            <w:r>
              <w:rPr>
                <w:rFonts w:eastAsia="等线"/>
                <w:color w:val="000000" w:themeColor="text1"/>
                <w:szCs w:val="20"/>
                <w14:textFill>
                  <w14:solidFill>
                    <w14:schemeClr w14:val="tx1"/>
                  </w14:solidFill>
                </w14:textFill>
              </w:rPr>
              <w:t>r</w:t>
            </w:r>
            <w:r>
              <w:rPr>
                <w:color w:val="000000" w:themeColor="text1"/>
                <w:szCs w:val="20"/>
                <w:lang w:eastAsia="en-US"/>
                <w14:textFill>
                  <w14:solidFill>
                    <w14:schemeClr w14:val="tx1"/>
                  </w14:solidFill>
                </w14:textFill>
              </w:rPr>
              <w:t>uction part separately compatible to the reference decoder.</w:t>
            </w:r>
          </w:p>
          <w:p>
            <w:pPr>
              <w:numPr>
                <w:ilvl w:val="2"/>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1-3: Both reference encoder and reference decoder are specified, and NW-side and</w:t>
            </w:r>
            <w:r>
              <w:rPr>
                <w:rFonts w:eastAsia="等线"/>
                <w:color w:val="000000" w:themeColor="text1"/>
                <w:szCs w:val="20"/>
                <w14:textFill>
                  <w14:solidFill>
                    <w14:schemeClr w14:val="tx1"/>
                  </w14:solidFill>
                </w14:textFill>
              </w:rPr>
              <w:t>/or</w:t>
            </w:r>
            <w:r>
              <w:rPr>
                <w:color w:val="000000" w:themeColor="text1"/>
                <w:szCs w:val="20"/>
                <w:lang w:eastAsia="en-US"/>
                <w14:textFill>
                  <w14:solidFill>
                    <w14:schemeClr w14:val="tx1"/>
                  </w14:solidFill>
                </w14:textFill>
              </w:rPr>
              <w:t xml:space="preserve"> UE-side may train their actual CSI generation part and </w:t>
            </w:r>
            <w:r>
              <w:rPr>
                <w:rFonts w:eastAsia="等线"/>
                <w:color w:val="000000" w:themeColor="text1"/>
                <w:szCs w:val="20"/>
                <w14:textFill>
                  <w14:solidFill>
                    <w14:schemeClr w14:val="tx1"/>
                  </w14:solidFill>
                </w14:textFill>
              </w:rPr>
              <w:t>actual CSI</w:t>
            </w:r>
            <w:r>
              <w:rPr>
                <w:color w:val="000000" w:themeColor="text1"/>
                <w:szCs w:val="20"/>
                <w:lang w:eastAsia="en-US"/>
                <w14:textFill>
                  <w14:solidFill>
                    <w14:schemeClr w14:val="tx1"/>
                  </w14:solidFill>
                </w14:textFill>
              </w:rPr>
              <w:t>-reconst</w:t>
            </w:r>
            <w:r>
              <w:rPr>
                <w:rFonts w:eastAsia="等线"/>
                <w:color w:val="000000" w:themeColor="text1"/>
                <w:szCs w:val="20"/>
                <w14:textFill>
                  <w14:solidFill>
                    <w14:schemeClr w14:val="tx1"/>
                  </w14:solidFill>
                </w14:textFill>
              </w:rPr>
              <w:t>r</w:t>
            </w:r>
            <w:r>
              <w:rPr>
                <w:color w:val="000000" w:themeColor="text1"/>
                <w:szCs w:val="20"/>
                <w:lang w:eastAsia="en-US"/>
                <w14:textFill>
                  <w14:solidFill>
                    <w14:schemeClr w14:val="tx1"/>
                  </w14:solidFill>
                </w14:textFill>
              </w:rPr>
              <w:t>uction part separately that are compatible to the reference decoder/encoder.</w:t>
            </w:r>
          </w:p>
          <w:p>
            <w:pPr>
              <w:numPr>
                <w:ilvl w:val="0"/>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 xml:space="preserve">Note: UE-side data and NW-side data in “UE-side data distribution” and “NW-side data distribution” are field data. </w:t>
            </w:r>
          </w:p>
          <w:p>
            <w:pPr>
              <w:numPr>
                <w:ilvl w:val="0"/>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eastAsia="等线"/>
                <w:color w:val="000000" w:themeColor="text1"/>
                <w:szCs w:val="20"/>
                <w14:textFill>
                  <w14:solidFill>
                    <w14:schemeClr w14:val="tx1"/>
                  </w14:solidFill>
                </w14:textFill>
              </w:rPr>
              <w:t>Note: Some issues identified in one direction may/may not be applicable for other Direction.</w:t>
            </w:r>
          </w:p>
          <w:p>
            <w:pPr>
              <w:numPr>
                <w:ilvl w:val="0"/>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rFonts w:eastAsia="等线"/>
                <w:color w:val="000000" w:themeColor="text1"/>
                <w:szCs w:val="20"/>
                <w14:textFill>
                  <w14:solidFill>
                    <w14:schemeClr w14:val="tx1"/>
                  </w14:solidFill>
                </w14:textFill>
              </w:rPr>
              <w:t>Note: potential down selection among the 3 directions is not precluded</w:t>
            </w:r>
          </w:p>
          <w:p>
            <w:p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en-US"/>
                <w14:textFill>
                  <w14:solidFill>
                    <w14:schemeClr w14:val="tx1"/>
                  </w14:solidFill>
                </w14:textFill>
              </w:rPr>
              <w:t>Study of data distribution mismatch to consider the use of synthetic data and</w:t>
            </w:r>
            <w:r>
              <w:rPr>
                <w:rFonts w:eastAsia="等线"/>
                <w:color w:val="000000" w:themeColor="text1"/>
                <w:szCs w:val="20"/>
                <w14:textFill>
                  <w14:solidFill>
                    <w14:schemeClr w14:val="tx1"/>
                  </w14:solidFill>
                </w14:textFill>
              </w:rPr>
              <w:t>/or</w:t>
            </w:r>
            <w:r>
              <w:rPr>
                <w:color w:val="000000" w:themeColor="text1"/>
                <w:szCs w:val="20"/>
                <w:lang w:eastAsia="en-US"/>
                <w14:textFill>
                  <w14:solidFill>
                    <w14:schemeClr w14:val="tx1"/>
                  </w14:solidFill>
                </w14:textFill>
              </w:rPr>
              <w:t xml:space="preserve"> field data.</w:t>
            </w:r>
          </w:p>
          <w:p>
            <w:pPr>
              <w:snapToGrid w:val="0"/>
              <w:spacing w:before="72" w:beforeLines="30" w:after="72" w:afterLines="30" w:line="288" w:lineRule="auto"/>
              <w:rPr>
                <w:color w:val="000000" w:themeColor="text1"/>
                <w:szCs w:val="20"/>
                <w:lang w:eastAsia="en-US"/>
                <w14:textFill>
                  <w14:solidFill>
                    <w14:schemeClr w14:val="tx1"/>
                  </w14:solidFill>
                </w14:textFill>
              </w:rPr>
            </w:pPr>
          </w:p>
          <w:p>
            <w:pPr>
              <w:overflowPunct w:val="0"/>
              <w:autoSpaceDE w:val="0"/>
              <w:autoSpaceDN w:val="0"/>
              <w:adjustRightInd w:val="0"/>
              <w:snapToGrid w:val="0"/>
              <w:spacing w:before="72" w:beforeLines="30" w:after="72" w:afterLines="30" w:line="288" w:lineRule="auto"/>
              <w:textAlignment w:val="baseline"/>
              <w:rPr>
                <w:rFonts w:eastAsia="等线"/>
                <w:b/>
                <w:color w:val="000000" w:themeColor="text1"/>
                <w:szCs w:val="20"/>
                <w:u w:val="single"/>
                <w14:textFill>
                  <w14:solidFill>
                    <w14:schemeClr w14:val="tx1"/>
                  </w14:solidFill>
                </w14:textFill>
              </w:rPr>
            </w:pPr>
            <w:r>
              <w:rPr>
                <w:rFonts w:hint="eastAsia" w:eastAsia="等线"/>
                <w:b/>
                <w:color w:val="000000" w:themeColor="text1"/>
                <w:szCs w:val="20"/>
                <w:u w:val="single"/>
                <w14:textFill>
                  <w14:solidFill>
                    <w14:schemeClr w14:val="tx1"/>
                  </w14:solidFill>
                </w14:textFill>
              </w:rPr>
              <w:t>Agreement</w:t>
            </w:r>
          </w:p>
          <w:p>
            <w:pPr>
              <w:snapToGrid w:val="0"/>
              <w:spacing w:before="72" w:beforeLines="30" w:after="72" w:afterLines="30" w:line="288" w:lineRule="auto"/>
              <w:rPr>
                <w:bCs/>
                <w:iCs/>
                <w:color w:val="000000" w:themeColor="text1"/>
                <w14:textFill>
                  <w14:solidFill>
                    <w14:schemeClr w14:val="tx1"/>
                  </w14:solidFill>
                </w14:textFill>
              </w:rPr>
            </w:pPr>
            <w:r>
              <w:rPr>
                <w:color w:val="000000" w:themeColor="text1"/>
                <w14:textFill>
                  <w14:solidFill>
                    <w14:schemeClr w14:val="tx1"/>
                  </w14:solidFill>
                </w14:textFill>
              </w:rPr>
              <w:t xml:space="preserve">For Directions of addressing inter-vendor collaboration complexity for two-sided CSI compression, </w:t>
            </w:r>
          </w:p>
          <w:p>
            <w:pPr>
              <w:numPr>
                <w:ilvl w:val="0"/>
                <w:numId w:val="19"/>
              </w:numPr>
              <w:snapToGrid w:val="0"/>
              <w:spacing w:before="72" w:beforeLines="30" w:after="72" w:afterLines="30" w:line="288" w:lineRule="auto"/>
              <w:rPr>
                <w:rFonts w:eastAsia="等线"/>
                <w:color w:val="000000" w:themeColor="text1"/>
                <w:szCs w:val="20"/>
                <w14:textFill>
                  <w14:solidFill>
                    <w14:schemeClr w14:val="tx1"/>
                  </w14:solidFill>
                </w14:textFill>
              </w:rPr>
            </w:pPr>
            <w:r>
              <w:rPr>
                <w:rFonts w:eastAsia="等线"/>
                <w:color w:val="000000" w:themeColor="text1"/>
                <w:szCs w:val="20"/>
                <w14:textFill>
                  <w14:solidFill>
                    <w14:schemeClr w14:val="tx1"/>
                  </w14:solidFill>
                </w14:textFill>
              </w:rPr>
              <w:t xml:space="preserve">For </w:t>
            </w:r>
            <w:r>
              <w:rPr>
                <w:rFonts w:hint="eastAsia" w:eastAsia="等线"/>
                <w:color w:val="000000" w:themeColor="text1"/>
                <w:szCs w:val="20"/>
                <w14:textFill>
                  <w14:solidFill>
                    <w14:schemeClr w14:val="tx1"/>
                  </w14:solidFill>
                </w14:textFill>
              </w:rPr>
              <w:t>Direction A</w:t>
            </w:r>
            <w:r>
              <w:rPr>
                <w:rFonts w:eastAsia="等线"/>
                <w:color w:val="000000" w:themeColor="text1"/>
                <w:szCs w:val="20"/>
                <w14:textFill>
                  <w14:solidFill>
                    <w14:schemeClr w14:val="tx1"/>
                  </w14:solidFill>
                </w14:textFill>
              </w:rPr>
              <w:t>:</w:t>
            </w:r>
          </w:p>
          <w:p>
            <w:pPr>
              <w:numPr>
                <w:ilvl w:val="1"/>
                <w:numId w:val="19"/>
              </w:numPr>
              <w:snapToGrid w:val="0"/>
              <w:spacing w:before="72" w:beforeLines="30" w:after="72" w:afterLines="30" w:line="288" w:lineRule="auto"/>
              <w:rPr>
                <w:rFonts w:eastAsia="等线"/>
                <w:color w:val="000000" w:themeColor="text1"/>
                <w:szCs w:val="20"/>
                <w:lang w:eastAsia="ko-KR"/>
                <w14:textFill>
                  <w14:solidFill>
                    <w14:schemeClr w14:val="tx1"/>
                  </w14:solidFill>
                </w14:textFill>
              </w:rPr>
            </w:pPr>
            <w:r>
              <w:rPr>
                <w:rFonts w:eastAsia="等线"/>
                <w:color w:val="000000" w:themeColor="text1"/>
                <w:szCs w:val="20"/>
                <w:lang w:eastAsia="ko-KR"/>
                <w14:textFill>
                  <w14:solidFill>
                    <w14:schemeClr w14:val="tx1"/>
                  </w14:solidFill>
                </w14:textFill>
              </w:rPr>
              <w:t xml:space="preserve">Further study the following options with potential down-selection </w:t>
            </w:r>
          </w:p>
          <w:p>
            <w:pPr>
              <w:numPr>
                <w:ilvl w:val="2"/>
                <w:numId w:val="19"/>
              </w:numPr>
              <w:snapToGrid w:val="0"/>
              <w:spacing w:before="72" w:beforeLines="30" w:after="72" w:afterLines="30" w:line="288" w:lineRule="auto"/>
              <w:rPr>
                <w:color w:val="000000" w:themeColor="text1"/>
                <w:szCs w:val="20"/>
                <w:lang w:eastAsia="ko-KR"/>
                <w14:textFill>
                  <w14:solidFill>
                    <w14:schemeClr w14:val="tx1"/>
                  </w14:solidFill>
                </w14:textFill>
              </w:rPr>
            </w:pPr>
            <w:r>
              <w:rPr>
                <w:color w:val="000000" w:themeColor="text1"/>
                <w:szCs w:val="20"/>
                <w:lang w:eastAsia="ko-KR"/>
                <w14:textFill>
                  <w14:solidFill>
                    <w14:schemeClr w14:val="tx1"/>
                  </w14:solidFill>
                </w14:textFill>
              </w:rPr>
              <w:t xml:space="preserve">4-1: dataset is {target CSI, CSI feedback}, </w:t>
            </w:r>
          </w:p>
          <w:p>
            <w:pPr>
              <w:numPr>
                <w:ilvl w:val="2"/>
                <w:numId w:val="19"/>
              </w:numPr>
              <w:snapToGrid w:val="0"/>
              <w:spacing w:before="72" w:beforeLines="30" w:after="72" w:afterLines="30" w:line="288" w:lineRule="auto"/>
              <w:rPr>
                <w:color w:val="000000" w:themeColor="text1"/>
                <w:szCs w:val="20"/>
                <w:lang w:eastAsia="ko-KR"/>
                <w14:textFill>
                  <w14:solidFill>
                    <w14:schemeClr w14:val="tx1"/>
                  </w14:solidFill>
                </w14:textFill>
              </w:rPr>
            </w:pPr>
            <w:r>
              <w:rPr>
                <w:color w:val="000000" w:themeColor="text1"/>
                <w:szCs w:val="20"/>
                <w:lang w:eastAsia="ko-KR"/>
                <w14:textFill>
                  <w14:solidFill>
                    <w14:schemeClr w14:val="tx1"/>
                  </w14:solidFill>
                </w14:textFill>
              </w:rPr>
              <w:t>3a-1: encoder parameter exchange, with {target CSI}</w:t>
            </w:r>
          </w:p>
          <w:p>
            <w:pPr>
              <w:numPr>
                <w:ilvl w:val="2"/>
                <w:numId w:val="19"/>
              </w:numPr>
              <w:snapToGrid w:val="0"/>
              <w:spacing w:before="72" w:beforeLines="30" w:after="72" w:afterLines="30" w:line="288" w:lineRule="auto"/>
              <w:rPr>
                <w:color w:val="000000" w:themeColor="text1"/>
                <w:szCs w:val="20"/>
                <w:lang w:eastAsia="en-US"/>
                <w14:textFill>
                  <w14:solidFill>
                    <w14:schemeClr w14:val="tx1"/>
                  </w14:solidFill>
                </w14:textFill>
              </w:rPr>
            </w:pPr>
            <w:r>
              <w:rPr>
                <w:color w:val="000000" w:themeColor="text1"/>
                <w:szCs w:val="20"/>
                <w:lang w:eastAsia="ko-KR"/>
                <w14:textFill>
                  <w14:solidFill>
                    <w14:schemeClr w14:val="tx1"/>
                  </w14:solidFill>
                </w14:textFill>
              </w:rPr>
              <w:t xml:space="preserve">Note: Additional information beyond what’s listed above may need to be </w:t>
            </w:r>
            <w:r>
              <w:rPr>
                <w:rFonts w:hint="eastAsia"/>
                <w:color w:val="000000" w:themeColor="text1"/>
                <w:szCs w:val="20"/>
                <w14:textFill>
                  <w14:solidFill>
                    <w14:schemeClr w14:val="tx1"/>
                  </w14:solidFill>
                </w14:textFill>
              </w:rPr>
              <w:t>exchanged</w:t>
            </w:r>
            <w:r>
              <w:rPr>
                <w:color w:val="000000" w:themeColor="text1"/>
                <w:szCs w:val="20"/>
                <w:lang w:eastAsia="ko-KR"/>
                <w14:textFill>
                  <w14:solidFill>
                    <w14:schemeClr w14:val="tx1"/>
                  </w14:solidFill>
                </w14:textFill>
              </w:rPr>
              <w:t xml:space="preserve"> if necessary.</w:t>
            </w:r>
          </w:p>
        </w:tc>
      </w:tr>
    </w:tbl>
    <w:p>
      <w:pPr>
        <w:numPr>
          <w:ilvl w:val="2"/>
          <w:numId w:val="10"/>
        </w:numPr>
        <w:adjustRightInd w:val="0"/>
        <w:snapToGrid w:val="0"/>
        <w:spacing w:before="72" w:beforeLines="30" w:after="72" w:afterLines="30" w:line="288" w:lineRule="auto"/>
        <w:jc w:val="both"/>
        <w:outlineLvl w:val="2"/>
        <w:rPr>
          <w:rFonts w:eastAsia="宋体"/>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Direction A with UE-side offline engineering</w:t>
      </w:r>
    </w:p>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hint="eastAsia" w:eastAsia="宋体"/>
          <w:bCs/>
          <w:color w:val="000000" w:themeColor="text1"/>
          <w14:textFill>
            <w14:solidFill>
              <w14:schemeClr w14:val="tx1"/>
            </w14:solidFill>
          </w14:textFill>
        </w:rPr>
        <w:t xml:space="preserve">Regarding Direction A (i.e., inter vendor collaboration options 3a/5a/4), the </w:t>
      </w:r>
      <w:r>
        <w:rPr>
          <w:rFonts w:eastAsia="宋体"/>
          <w:bCs/>
          <w:color w:val="000000" w:themeColor="text1"/>
          <w:lang w:eastAsia="en-US"/>
          <w14:textFill>
            <w14:solidFill>
              <w14:schemeClr w14:val="tx1"/>
            </w14:solidFill>
          </w14:textFill>
        </w:rPr>
        <w:t>parameters</w:t>
      </w:r>
      <w:r>
        <w:rPr>
          <w:rFonts w:eastAsia="宋体"/>
          <w:bCs/>
          <w:color w:val="000000" w:themeColor="text1"/>
          <w14:textFill>
            <w14:solidFill>
              <w14:schemeClr w14:val="tx1"/>
            </w14:solidFill>
          </w14:textFill>
        </w:rPr>
        <w:t>/reference model</w:t>
      </w:r>
      <w:r>
        <w:rPr>
          <w:rFonts w:eastAsia="宋体"/>
          <w:bCs/>
          <w:color w:val="000000" w:themeColor="text1"/>
          <w:lang w:eastAsia="en-US"/>
          <w14:textFill>
            <w14:solidFill>
              <w14:schemeClr w14:val="tx1"/>
            </w14:solidFill>
          </w14:textFill>
        </w:rPr>
        <w:t>/dataset</w:t>
      </w:r>
      <w:r>
        <w:rPr>
          <w:rFonts w:hint="eastAsia" w:eastAsia="宋体"/>
          <w:bCs/>
          <w:color w:val="000000" w:themeColor="text1"/>
          <w14:textFill>
            <w14:solidFill>
              <w14:schemeClr w14:val="tx1"/>
            </w14:solidFill>
          </w14:textFill>
        </w:rPr>
        <w:t xml:space="preserve"> received at the UE or UE side goes through offline engineering for potential model retraining, re-development, or offline testing. Compared with other plug-and-play based options and directions, better performance in the field is expected to be achieved by device-specific engineering and optimization. However, the facilitating of UE-side offline engineering may also come with additional feasibility issues as analyzed in the following.</w:t>
      </w: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1] Additional information sharing</w:t>
      </w:r>
    </w:p>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hint="eastAsia" w:eastAsia="宋体"/>
          <w:bCs/>
          <w:color w:val="000000" w:themeColor="text1"/>
          <w14:textFill>
            <w14:solidFill>
              <w14:schemeClr w14:val="tx1"/>
            </w14:solidFill>
          </w14:textFill>
        </w:rPr>
        <w:t xml:space="preserve">For option 3a-1, with the assumption of NW-first training, both parts of the two-sided model are </w:t>
      </w:r>
      <w:r>
        <w:rPr>
          <w:rFonts w:eastAsia="宋体"/>
          <w:bCs/>
          <w:color w:val="000000" w:themeColor="text1"/>
          <w14:textFill>
            <w14:solidFill>
              <w14:schemeClr w14:val="tx1"/>
            </w14:solidFill>
          </w14:textFill>
        </w:rPr>
        <w:t xml:space="preserve">initially </w:t>
      </w:r>
      <w:r>
        <w:rPr>
          <w:rFonts w:hint="eastAsia" w:eastAsia="宋体"/>
          <w:bCs/>
          <w:color w:val="000000" w:themeColor="text1"/>
          <w14:textFill>
            <w14:solidFill>
              <w14:schemeClr w14:val="tx1"/>
            </w14:solidFill>
          </w14:textFill>
        </w:rPr>
        <w:t xml:space="preserve">trained at the NW side, followed by the exchange of parameters related to the encoder from the NW-side to UE-side. To facilitate the UE-side offline engineering, additional dataset for model retraining or validation/testing is </w:t>
      </w:r>
      <w:r>
        <w:rPr>
          <w:rFonts w:eastAsia="宋体"/>
          <w:bCs/>
          <w:color w:val="000000" w:themeColor="text1"/>
          <w14:textFill>
            <w14:solidFill>
              <w14:schemeClr w14:val="tx1"/>
            </w14:solidFill>
          </w14:textFill>
        </w:rPr>
        <w:t>essential</w:t>
      </w:r>
      <w:r>
        <w:rPr>
          <w:rFonts w:hint="eastAsia" w:eastAsia="宋体"/>
          <w:bCs/>
          <w:color w:val="000000" w:themeColor="text1"/>
          <w14:textFill>
            <w14:solidFill>
              <w14:schemeClr w14:val="tx1"/>
            </w14:solidFill>
          </w14:textFill>
        </w:rPr>
        <w:t xml:space="preserve">, which may be </w:t>
      </w:r>
      <w:r>
        <w:rPr>
          <w:rFonts w:eastAsia="宋体"/>
          <w:bCs/>
          <w:color w:val="000000" w:themeColor="text1"/>
          <w14:textFill>
            <w14:solidFill>
              <w14:schemeClr w14:val="tx1"/>
            </w14:solidFill>
          </w14:textFill>
        </w:rPr>
        <w:t xml:space="preserve">directly </w:t>
      </w:r>
      <w:r>
        <w:rPr>
          <w:rFonts w:hint="eastAsia" w:eastAsia="宋体"/>
          <w:bCs/>
          <w:color w:val="000000" w:themeColor="text1"/>
          <w14:textFill>
            <w14:solidFill>
              <w14:schemeClr w14:val="tx1"/>
            </w14:solidFill>
          </w14:textFill>
        </w:rPr>
        <w:t>collected by the UE. Note that the issue of target CSI sharing for option 3a-1 was discussed in RAN1#119 meeting but no consensus was reached.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000000" w:themeColor="text1"/>
                <w:lang w:eastAsia="en-US"/>
                <w14:textFill>
                  <w14:solidFill>
                    <w14:schemeClr w14:val="tx1"/>
                  </w14:solidFill>
                </w14:textFill>
              </w:rPr>
            </w:pPr>
            <w:r>
              <w:rPr>
                <w:rFonts w:eastAsia="等线"/>
                <w:b/>
                <w:color w:val="000000" w:themeColor="text1"/>
                <w:lang w:eastAsia="en-US"/>
                <w14:textFill>
                  <w14:solidFill>
                    <w14:schemeClr w14:val="tx1"/>
                  </w14:solidFill>
                </w14:textFill>
              </w:rPr>
              <w:t>Proposal</w:t>
            </w:r>
          </w:p>
          <w:p>
            <w:pPr>
              <w:overflowPunct w:val="0"/>
              <w:autoSpaceDE w:val="0"/>
              <w:autoSpaceDN w:val="0"/>
              <w:adjustRightInd w:val="0"/>
              <w:snapToGrid w:val="0"/>
              <w:spacing w:before="72" w:beforeLines="30" w:after="72" w:afterLines="30" w:line="288" w:lineRule="auto"/>
              <w:jc w:val="both"/>
              <w:textAlignment w:val="baseline"/>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Regarding target CSI sharing for option 3a-1</w:t>
            </w:r>
          </w:p>
          <w:p>
            <w:pPr>
              <w:numPr>
                <w:ilvl w:val="0"/>
                <w:numId w:val="21"/>
              </w:numPr>
              <w:suppressAutoHyphens/>
              <w:snapToGrid w:val="0"/>
              <w:spacing w:before="72" w:beforeLines="30" w:after="72" w:afterLines="30" w:line="288" w:lineRule="auto"/>
              <w:jc w:val="both"/>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NW-side target CSI sharing from NW-side to UE-side is needed for UE-side encoder performance validation/testing</w:t>
            </w:r>
          </w:p>
          <w:p>
            <w:pPr>
              <w:numPr>
                <w:ilvl w:val="0"/>
                <w:numId w:val="21"/>
              </w:numPr>
              <w:suppressAutoHyphens/>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 xml:space="preserve">FFS: Need of NW-side target CSI sharing from NW-side to UE-side for UE-side encoder training </w:t>
            </w:r>
          </w:p>
          <w:p>
            <w:pPr>
              <w:numPr>
                <w:ilvl w:val="1"/>
                <w:numId w:val="21"/>
              </w:numPr>
              <w:suppressAutoHyphens/>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to help UE-side address potential NW/UE-side data distribution mismatch due to UE-side additional condition </w:t>
            </w:r>
          </w:p>
          <w:p>
            <w:pPr>
              <w:numPr>
                <w:ilvl w:val="1"/>
                <w:numId w:val="21"/>
              </w:numPr>
              <w:suppressAutoHyphens/>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eastAsia="宋体"/>
                <w:color w:val="000000" w:themeColor="text1"/>
                <w:szCs w:val="20"/>
                <w14:textFill>
                  <w14:solidFill>
                    <w14:schemeClr w14:val="tx1"/>
                  </w14:solidFill>
                </w14:textFill>
              </w:rPr>
              <w:t>to ensure dataset diversity and good generalization ability for the UE-side encoder</w:t>
            </w:r>
          </w:p>
        </w:tc>
      </w:tr>
    </w:tbl>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hint="eastAsia" w:eastAsia="宋体"/>
          <w:bCs/>
          <w:color w:val="000000" w:themeColor="text1"/>
          <w14:textFill>
            <w14:solidFill>
              <w14:schemeClr w14:val="tx1"/>
            </w14:solidFill>
          </w14:textFill>
        </w:rPr>
        <w:t xml:space="preserve">According to our preliminary simulations, with the assumption that the NW-side additional condition can be aligned between NW and UE, the UE side can use the dataset collected by itself (i.e., UE-side field data) for offline engineering without compromising the end-to-end performance, while the transfer of target CSI from NW to UE would not contribute to resolve the UE-side </w:t>
      </w:r>
      <w:r>
        <w:rPr>
          <w:rFonts w:eastAsia="宋体"/>
          <w:color w:val="000000" w:themeColor="text1"/>
          <w14:textFill>
            <w14:solidFill>
              <w14:schemeClr w14:val="tx1"/>
            </w14:solidFill>
          </w14:textFill>
        </w:rPr>
        <w:t>additional conditions</w:t>
      </w:r>
      <w:r>
        <w:rPr>
          <w:rFonts w:hint="eastAsia" w:eastAsia="宋体"/>
          <w:color w:val="000000" w:themeColor="text1"/>
          <w14:textFill>
            <w14:solidFill>
              <w14:schemeClr w14:val="tx1"/>
            </w14:solidFill>
          </w14:textFill>
        </w:rPr>
        <w:t xml:space="preserve"> (i.e., SVD phase normalization) and </w:t>
      </w:r>
      <w:r>
        <w:rPr>
          <w:rFonts w:hint="eastAsia" w:eastAsia="宋体"/>
          <w:bCs/>
          <w:color w:val="000000" w:themeColor="text1"/>
          <w14:textFill>
            <w14:solidFill>
              <w14:schemeClr w14:val="tx1"/>
            </w14:solidFill>
          </w14:textFill>
        </w:rPr>
        <w:t>improve the overall performance. Specifically, the UE side</w:t>
      </w:r>
      <w:r>
        <w:rPr>
          <w:rFonts w:eastAsia="宋体"/>
          <w:bCs/>
          <w:color w:val="000000" w:themeColor="text1"/>
          <w14:textFill>
            <w14:solidFill>
              <w14:schemeClr w14:val="tx1"/>
            </w14:solidFill>
          </w14:textFill>
        </w:rPr>
        <w:t xml:space="preserve"> initially </w:t>
      </w:r>
      <w:r>
        <w:rPr>
          <w:rFonts w:hint="eastAsia" w:eastAsia="宋体"/>
          <w:bCs/>
          <w:color w:val="000000" w:themeColor="text1"/>
          <w14:textFill>
            <w14:solidFill>
              <w14:schemeClr w14:val="tx1"/>
            </w14:solidFill>
          </w14:textFill>
        </w:rPr>
        <w:t xml:space="preserve">train a nominal decoder based on the exchanged encoder and UE-side field data, and then train a new encoder that can better match the UE-side additional conditions. </w:t>
      </w:r>
      <w:r>
        <w:rPr>
          <w:rFonts w:eastAsia="宋体"/>
          <w:bCs/>
          <w:color w:val="000000" w:themeColor="text1"/>
          <w14:textFill>
            <w14:solidFill>
              <w14:schemeClr w14:val="tx1"/>
            </w14:solidFill>
          </w14:textFill>
        </w:rPr>
        <w:t>Subsequently</w:t>
      </w:r>
      <w:r>
        <w:rPr>
          <w:rFonts w:hint="eastAsia" w:eastAsia="宋体"/>
          <w:bCs/>
          <w:color w:val="000000" w:themeColor="text1"/>
          <w14:textFill>
            <w14:solidFill>
              <w14:schemeClr w14:val="tx1"/>
            </w14:solidFill>
          </w14:textFill>
        </w:rPr>
        <w:t xml:space="preserve">, </w:t>
      </w:r>
      <w:r>
        <w:rPr>
          <w:rFonts w:eastAsia="宋体"/>
          <w:bCs/>
          <w:color w:val="000000" w:themeColor="text1"/>
          <w14:textFill>
            <w14:solidFill>
              <w14:schemeClr w14:val="tx1"/>
            </w14:solidFill>
          </w14:textFill>
        </w:rPr>
        <w:t>the UE side calculates performance verification metrics</w:t>
      </w:r>
      <w:r>
        <w:rPr>
          <w:rFonts w:hint="eastAsia" w:eastAsia="宋体"/>
          <w:bCs/>
          <w:color w:val="000000" w:themeColor="text1"/>
          <w14:textFill>
            <w14:solidFill>
              <w14:schemeClr w14:val="tx1"/>
            </w14:solidFill>
          </w14:textFill>
        </w:rPr>
        <w:t xml:space="preserve">, such as SGCS or NMSE. </w:t>
      </w:r>
      <w:r>
        <w:rPr>
          <w:rFonts w:eastAsia="宋体"/>
          <w:bCs/>
          <w:color w:val="000000" w:themeColor="text1"/>
          <w14:textFill>
            <w14:solidFill>
              <w14:schemeClr w14:val="tx1"/>
            </w14:solidFill>
          </w14:textFill>
        </w:rPr>
        <w:t xml:space="preserve">Achieving a predefined performance target based on these metrics indicates that the model is adequately trained and </w:t>
      </w:r>
      <w:r>
        <w:rPr>
          <w:rFonts w:hint="eastAsia" w:eastAsia="宋体"/>
          <w:bCs/>
          <w:color w:val="000000" w:themeColor="text1"/>
          <w14:textFill>
            <w14:solidFill>
              <w14:schemeClr w14:val="tx1"/>
            </w14:solidFill>
          </w14:textFill>
        </w:rPr>
        <w:t xml:space="preserve">ready </w:t>
      </w:r>
      <w:r>
        <w:rPr>
          <w:rFonts w:eastAsia="宋体"/>
          <w:bCs/>
          <w:color w:val="000000" w:themeColor="text1"/>
          <w14:textFill>
            <w14:solidFill>
              <w14:schemeClr w14:val="tx1"/>
            </w14:solidFill>
          </w14:textFill>
        </w:rPr>
        <w:t>for inference.</w:t>
      </w:r>
    </w:p>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hint="eastAsia" w:eastAsia="宋体"/>
          <w:bCs/>
          <w:color w:val="000000" w:themeColor="text1"/>
          <w14:textFill>
            <w14:solidFill>
              <w14:schemeClr w14:val="tx1"/>
            </w14:solidFill>
          </w14:textFill>
        </w:rPr>
        <w:t>For option 4-1, both parts of the two-sided model are first trained at the NW side</w:t>
      </w:r>
      <w:r>
        <w:rPr>
          <w:rFonts w:eastAsia="宋体"/>
          <w:bCs/>
          <w:color w:val="000000" w:themeColor="text1"/>
          <w14:textFill>
            <w14:solidFill>
              <w14:schemeClr w14:val="tx1"/>
            </w14:solidFill>
          </w14:textFill>
        </w:rPr>
        <w:t>, followed by the exchange</w:t>
      </w:r>
      <w:r>
        <w:rPr>
          <w:rFonts w:hint="eastAsia" w:eastAsia="宋体"/>
          <w:bCs/>
          <w:color w:val="000000" w:themeColor="text1"/>
          <w14:textFill>
            <w14:solidFill>
              <w14:schemeClr w14:val="tx1"/>
            </w14:solidFill>
          </w14:textFill>
        </w:rPr>
        <w:t xml:space="preserve"> of dataset related to the encoder from the NW-side to UE-side, including the target CSI and CSI feedback. </w:t>
      </w:r>
      <w:r>
        <w:rPr>
          <w:rFonts w:eastAsia="宋体"/>
          <w:bCs/>
          <w:color w:val="000000" w:themeColor="text1"/>
          <w14:textFill>
            <w14:solidFill>
              <w14:schemeClr w14:val="tx1"/>
            </w14:solidFill>
          </w14:textFill>
        </w:rPr>
        <w:t xml:space="preserve">With the dataset readily available, </w:t>
      </w:r>
      <w:r>
        <w:rPr>
          <w:rFonts w:hint="eastAsia" w:eastAsia="宋体"/>
          <w:bCs/>
          <w:color w:val="000000" w:themeColor="text1"/>
          <w14:textFill>
            <w14:solidFill>
              <w14:schemeClr w14:val="tx1"/>
            </w14:solidFill>
          </w14:textFill>
        </w:rPr>
        <w:t>the UE side can directly train the encoder by respectively taking the transferred CSI feedback and target CSI as model input and output. Alternatively, the UE side can train a nominal decoder based on the transferred CSI feedback and target CSI, and then train a</w:t>
      </w:r>
      <w:r>
        <w:rPr>
          <w:rFonts w:eastAsia="宋体"/>
          <w:bCs/>
          <w:color w:val="000000" w:themeColor="text1"/>
          <w14:textFill>
            <w14:solidFill>
              <w14:schemeClr w14:val="tx1"/>
            </w14:solidFill>
          </w14:textFill>
        </w:rPr>
        <w:t>n</w:t>
      </w:r>
      <w:r>
        <w:rPr>
          <w:rFonts w:hint="eastAsia" w:eastAsia="宋体"/>
          <w:bCs/>
          <w:color w:val="000000" w:themeColor="text1"/>
          <w14:textFill>
            <w14:solidFill>
              <w14:schemeClr w14:val="tx1"/>
            </w14:solidFill>
          </w14:textFill>
        </w:rPr>
        <w:t xml:space="preserve"> encoder compatible with the nominal decoder. If a predefined performance target shared from the NW side is met, it implies that the encoder has been well trained and thus ready for inference. Additionally, as the actual encoder and decoder are trained separately, misaligned model backbones or structures would result in up to </w:t>
      </w:r>
      <w:r>
        <w:rPr>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5.1</w:t>
      </w:r>
      <w:r>
        <w:rPr>
          <w:color w:val="000000" w:themeColor="text1"/>
          <w14:textFill>
            <w14:solidFill>
              <w14:schemeClr w14:val="tx1"/>
            </w14:solidFill>
          </w14:textFill>
        </w:rPr>
        <w:t>%</w:t>
      </w:r>
      <w:r>
        <w:rPr>
          <w:rFonts w:hint="eastAsia" w:eastAsia="宋体"/>
          <w:bCs/>
          <w:color w:val="000000" w:themeColor="text1"/>
          <w14:textFill>
            <w14:solidFill>
              <w14:schemeClr w14:val="tx1"/>
            </w14:solidFill>
          </w14:textFill>
        </w:rPr>
        <w:t xml:space="preserve"> performance </w:t>
      </w:r>
      <w:r>
        <w:rPr>
          <w:color w:val="000000" w:themeColor="text1"/>
          <w14:textFill>
            <w14:solidFill>
              <w14:schemeClr w14:val="tx1"/>
            </w14:solidFill>
          </w14:textFill>
        </w:rPr>
        <w:t>degradation</w:t>
      </w:r>
      <w:r>
        <w:rPr>
          <w:rFonts w:hint="eastAsia" w:eastAsia="宋体"/>
          <w:color w:val="000000" w:themeColor="text1"/>
          <w14:textFill>
            <w14:solidFill>
              <w14:schemeClr w14:val="tx1"/>
            </w14:solidFill>
          </w14:textFill>
        </w:rPr>
        <w:t xml:space="preserve"> </w:t>
      </w:r>
      <w:r>
        <w:rPr>
          <w:rFonts w:hint="eastAsia" w:eastAsia="宋体"/>
          <w:bCs/>
          <w:color w:val="000000" w:themeColor="text1"/>
          <w14:textFill>
            <w14:solidFill>
              <w14:schemeClr w14:val="tx1"/>
            </w14:solidFill>
          </w14:textFill>
        </w:rPr>
        <w:t xml:space="preserve">according to Rel-18 evaluations. Moreover, without the model backbone information sharing, the UE may have to blindly try different model backbones (e.g., CNN, transformer) during model training procedure to check whether the predefined performance target can be achieved, resulting in significantly increased training time and complexity at the UE side. Therefore, </w:t>
      </w:r>
      <w:r>
        <w:rPr>
          <w:rFonts w:eastAsia="宋体"/>
          <w:bCs/>
          <w:color w:val="000000" w:themeColor="text1"/>
          <w14:textFill>
            <w14:solidFill>
              <w14:schemeClr w14:val="tx1"/>
            </w14:solidFill>
          </w14:textFill>
        </w:rPr>
        <w:t xml:space="preserve">it is also essential to share additional information regarding the model backbone </w:t>
      </w:r>
      <w:r>
        <w:rPr>
          <w:rFonts w:hint="eastAsia" w:eastAsia="宋体"/>
          <w:bCs/>
          <w:color w:val="000000" w:themeColor="text1"/>
          <w14:textFill>
            <w14:solidFill>
              <w14:schemeClr w14:val="tx1"/>
            </w14:solidFill>
          </w14:textFill>
        </w:rPr>
        <w:t xml:space="preserve">or structure </w:t>
      </w:r>
      <w:r>
        <w:rPr>
          <w:rFonts w:eastAsia="宋体"/>
          <w:bCs/>
          <w:color w:val="000000" w:themeColor="text1"/>
          <w14:textFill>
            <w14:solidFill>
              <w14:schemeClr w14:val="tx1"/>
            </w14:solidFill>
          </w14:textFill>
        </w:rPr>
        <w:t>from the NW side to the UE side to ensure proper alignment and performance.</w:t>
      </w:r>
    </w:p>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hint="eastAsia" w:eastAsia="宋体"/>
          <w:bCs/>
          <w:color w:val="000000" w:themeColor="text1"/>
          <w14:textFill>
            <w14:solidFill>
              <w14:schemeClr w14:val="tx1"/>
            </w14:solidFill>
          </w14:textFill>
        </w:rPr>
        <w:t xml:space="preserve">For offline engineering or performance testing/validation at the UE side for both options 3a-1 and 4-1, the UE may need to collect data capturing the UE-side additional conditions in implementation ways, with the assumption that the NW-side additional conditions can be aligned between NW and UE (e.g., in the form of associated ID abstracting NW-side additional conditions). Apparently, unaligned NW-side additional conditions would potentially introduce </w:t>
      </w:r>
      <w:r>
        <w:rPr>
          <w:rFonts w:hint="eastAsia"/>
          <w:color w:val="000000" w:themeColor="text1"/>
          <w:szCs w:val="20"/>
          <w14:textFill>
            <w14:solidFill>
              <w14:schemeClr w14:val="tx1"/>
            </w14:solidFill>
          </w14:textFill>
        </w:rPr>
        <w:t>UE-side/NW-side data distribution mismatch</w:t>
      </w:r>
      <w:r>
        <w:rPr>
          <w:rFonts w:hint="eastAsia" w:eastAsia="宋体"/>
          <w:color w:val="000000" w:themeColor="text1"/>
          <w:szCs w:val="20"/>
          <w14:textFill>
            <w14:solidFill>
              <w14:schemeClr w14:val="tx1"/>
            </w14:solidFill>
          </w14:textFill>
        </w:rPr>
        <w:t xml:space="preserve"> problems and results in </w:t>
      </w:r>
      <w:r>
        <w:rPr>
          <w:rFonts w:hint="eastAsia" w:eastAsia="宋体"/>
          <w:bCs/>
          <w:color w:val="000000" w:themeColor="text1"/>
          <w14:textFill>
            <w14:solidFill>
              <w14:schemeClr w14:val="tx1"/>
            </w14:solidFill>
          </w14:textFill>
        </w:rPr>
        <w:t>large performance degradation for both Direction A options 3a-1 and 4-1. However, in AI/ML-based CSI compression using two-sided model use cases, the feasibility and approaches of addressing the NW-side additional conditions across training and inference has never been discussed. Therefore, for the study of options 3a-1 and 4-1 of Direction A, the feasibility of addressing UE-side/NW-side data distribution mismatch with respect to NW-side additional conditions should be concluded.</w:t>
      </w:r>
    </w:p>
    <w:p>
      <w:pPr>
        <w:pStyle w:val="147"/>
        <w:snapToGrid w:val="0"/>
        <w:spacing w:before="72" w:after="72"/>
        <w:jc w:val="both"/>
        <w:rPr>
          <w:b w:val="0"/>
          <w:color w:val="000000" w:themeColor="text1"/>
          <w:szCs w:val="20"/>
          <w:lang w:val="en-US"/>
          <w14:textFill>
            <w14:solidFill>
              <w14:schemeClr w14:val="tx1"/>
            </w14:solidFill>
          </w14:textFill>
        </w:rPr>
      </w:pPr>
      <w:bookmarkStart w:id="1" w:name="_Hlk178349080"/>
      <w:r>
        <w:rPr>
          <w:rFonts w:hint="eastAsia"/>
          <w:b w:val="0"/>
          <w:color w:val="000000" w:themeColor="text1"/>
          <w:szCs w:val="20"/>
          <w:lang w:val="en-US"/>
          <w14:textFill>
            <w14:solidFill>
              <w14:schemeClr w14:val="tx1"/>
            </w14:solidFill>
          </w14:textFill>
        </w:rPr>
        <w:t xml:space="preserve">For option 3a-1 of Direction A, </w:t>
      </w:r>
      <w:r>
        <w:rPr>
          <w:rFonts w:hint="eastAsia"/>
          <w:b w:val="0"/>
          <w:bCs w:val="0"/>
          <w:color w:val="000000" w:themeColor="text1"/>
          <w:szCs w:val="20"/>
          <w:lang w:val="en-US"/>
          <w14:textFill>
            <w14:solidFill>
              <w14:schemeClr w14:val="tx1"/>
            </w14:solidFill>
          </w14:textFill>
        </w:rPr>
        <w:t>additional dataset for UE-side encoder retraining can be collected by UE implementations</w:t>
      </w:r>
      <w:r>
        <w:rPr>
          <w:rFonts w:hint="eastAsia"/>
          <w:b w:val="0"/>
          <w:color w:val="000000" w:themeColor="text1"/>
          <w:szCs w:val="20"/>
          <w:lang w:val="en-US"/>
          <w14:textFill>
            <w14:solidFill>
              <w14:schemeClr w14:val="tx1"/>
            </w14:solidFill>
          </w14:textFill>
        </w:rPr>
        <w:t xml:space="preserve">, while the sharing of target CSI from NW-side to UE-side is not </w:t>
      </w:r>
      <w:r>
        <w:rPr>
          <w:b w:val="0"/>
          <w:bCs w:val="0"/>
          <w:color w:val="000000" w:themeColor="text1"/>
          <w:szCs w:val="20"/>
          <w:lang w:val="en-US"/>
          <w14:textFill>
            <w14:solidFill>
              <w14:schemeClr w14:val="tx1"/>
            </w14:solidFill>
          </w14:textFill>
        </w:rPr>
        <w:t>essential</w:t>
      </w:r>
      <w:r>
        <w:rPr>
          <w:rFonts w:hint="eastAsia"/>
          <w:b w:val="0"/>
          <w:bCs w:val="0"/>
          <w:color w:val="000000" w:themeColor="text1"/>
          <w:szCs w:val="20"/>
          <w:lang w:val="en-US"/>
          <w14:textFill>
            <w14:solidFill>
              <w14:schemeClr w14:val="tx1"/>
            </w14:solidFill>
          </w14:textFill>
        </w:rPr>
        <w:t>.</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option 4-1 of Direction A, model backbone information should be shared from NW-side to UE-side to enable UE-side encoder training, validation, and testing.</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the determination of additional information sharing for options 3a-1 and 4-1, the feasibility of addressing UE-side/NW-side data distribution mismatch with respect to NW-side additional conditions should be concluded.</w:t>
      </w:r>
    </w:p>
    <w:bookmarkEnd w:id="1"/>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p>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hint="eastAsia" w:eastAsia="宋体"/>
          <w:bCs/>
          <w:color w:val="000000" w:themeColor="text1"/>
          <w14:textFill>
            <w14:solidFill>
              <w14:schemeClr w14:val="tx1"/>
            </w14:solidFill>
          </w14:textFill>
        </w:rPr>
        <w:t xml:space="preserve">In RAN1#120 meeting, performance target was confirmed as </w:t>
      </w:r>
      <w:r>
        <w:rPr>
          <w:rFonts w:eastAsia="宋体"/>
          <w:bCs/>
          <w:color w:val="000000" w:themeColor="text1"/>
          <w:lang w:val="en-GB"/>
          <w14:textFill>
            <w14:solidFill>
              <w14:schemeClr w14:val="tx1"/>
            </w14:solidFill>
          </w14:textFill>
        </w:rPr>
        <w:t xml:space="preserve">additional information along with the exchanged dataset </w:t>
      </w:r>
      <w:r>
        <w:rPr>
          <w:rFonts w:hint="eastAsia" w:eastAsia="宋体"/>
          <w:bCs/>
          <w:color w:val="000000" w:themeColor="text1"/>
          <w14:textFill>
            <w14:solidFill>
              <w14:schemeClr w14:val="tx1"/>
            </w14:solidFill>
          </w14:textFill>
        </w:rPr>
        <w:t>for o</w:t>
      </w:r>
      <w:r>
        <w:rPr>
          <w:rFonts w:eastAsia="宋体"/>
          <w:bCs/>
          <w:color w:val="000000" w:themeColor="text1"/>
          <w:lang w:val="en-GB"/>
          <w14:textFill>
            <w14:solidFill>
              <w14:schemeClr w14:val="tx1"/>
            </w14:solidFill>
          </w14:textFill>
        </w:rPr>
        <w:t>ption</w:t>
      </w:r>
      <w:r>
        <w:rPr>
          <w:rFonts w:hint="eastAsia" w:eastAsia="宋体"/>
          <w:bCs/>
          <w:color w:val="000000" w:themeColor="text1"/>
          <w14:textFill>
            <w14:solidFill>
              <w14:schemeClr w14:val="tx1"/>
            </w14:solidFill>
          </w14:textFill>
        </w:rPr>
        <w:t xml:space="preserve"> </w:t>
      </w:r>
      <w:r>
        <w:rPr>
          <w:rFonts w:eastAsia="宋体"/>
          <w:bCs/>
          <w:color w:val="000000" w:themeColor="text1"/>
          <w:lang w:val="en-GB"/>
          <w14:textFill>
            <w14:solidFill>
              <w14:schemeClr w14:val="tx1"/>
            </w14:solidFill>
          </w14:textFill>
        </w:rPr>
        <w:t>4-1</w:t>
      </w:r>
      <w:r>
        <w:rPr>
          <w:rFonts w:hint="eastAsia" w:eastAsia="宋体"/>
          <w:bCs/>
          <w:color w:val="000000" w:themeColor="text1"/>
          <w14:textFill>
            <w14:solidFill>
              <w14:schemeClr w14:val="tx1"/>
            </w14:solidFill>
          </w14:textFill>
        </w:rPr>
        <w:t xml:space="preserve"> </w:t>
      </w:r>
      <w:r>
        <w:rPr>
          <w:rFonts w:eastAsia="宋体"/>
          <w:bCs/>
          <w:color w:val="000000" w:themeColor="text1"/>
          <w:lang w:val="en-GB"/>
          <w14:textFill>
            <w14:solidFill>
              <w14:schemeClr w14:val="tx1"/>
            </w14:solidFill>
          </w14:textFill>
        </w:rPr>
        <w:t>or the model parameters</w:t>
      </w:r>
      <w:r>
        <w:rPr>
          <w:rFonts w:hint="eastAsia" w:eastAsia="宋体"/>
          <w:bCs/>
          <w:color w:val="000000" w:themeColor="text1"/>
          <w14:textFill>
            <w14:solidFill>
              <w14:schemeClr w14:val="tx1"/>
            </w14:solidFill>
          </w14:textFill>
        </w:rPr>
        <w:t xml:space="preserve"> for o</w:t>
      </w:r>
      <w:r>
        <w:rPr>
          <w:rFonts w:eastAsia="宋体"/>
          <w:bCs/>
          <w:color w:val="000000" w:themeColor="text1"/>
          <w:lang w:val="en-GB"/>
          <w14:textFill>
            <w14:solidFill>
              <w14:schemeClr w14:val="tx1"/>
            </w14:solidFill>
          </w14:textFill>
        </w:rPr>
        <w:t>ption</w:t>
      </w:r>
      <w:r>
        <w:rPr>
          <w:rFonts w:hint="eastAsia" w:eastAsia="宋体"/>
          <w:bCs/>
          <w:color w:val="000000" w:themeColor="text1"/>
          <w14:textFill>
            <w14:solidFill>
              <w14:schemeClr w14:val="tx1"/>
            </w14:solidFill>
          </w14:textFill>
        </w:rPr>
        <w:t xml:space="preserve"> </w:t>
      </w:r>
      <w:r>
        <w:rPr>
          <w:rFonts w:eastAsia="宋体"/>
          <w:bCs/>
          <w:color w:val="000000" w:themeColor="text1"/>
          <w:lang w:val="en-GB"/>
          <w14:textFill>
            <w14:solidFill>
              <w14:schemeClr w14:val="tx1"/>
            </w14:solidFill>
          </w14:textFill>
        </w:rPr>
        <w:t>3a-1</w:t>
      </w:r>
      <w:r>
        <w:rPr>
          <w:rFonts w:hint="eastAsia" w:eastAsia="宋体"/>
          <w:bCs/>
          <w:color w:val="000000" w:themeColor="text1"/>
          <w14:textFill>
            <w14:solidFill>
              <w14:schemeClr w14:val="tx1"/>
            </w14:solidFill>
          </w14:textFill>
        </w:rPr>
        <w:t>, respectively.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000000" w:themeColor="text1"/>
                <w:lang w:val="en-GB"/>
                <w14:textFill>
                  <w14:solidFill>
                    <w14:schemeClr w14:val="tx1"/>
                  </w14:solidFill>
                </w14:textFill>
              </w:rPr>
            </w:pPr>
            <w:r>
              <w:rPr>
                <w:rFonts w:eastAsia="等线"/>
                <w:b/>
                <w:color w:val="000000" w:themeColor="text1"/>
                <w:lang w:val="en-GB"/>
                <w14:textFill>
                  <w14:solidFill>
                    <w14:schemeClr w14:val="tx1"/>
                  </w14:solidFill>
                </w14:textFill>
              </w:rPr>
              <w:t>Agreement</w:t>
            </w:r>
          </w:p>
          <w:p>
            <w:pPr>
              <w:snapToGrid w:val="0"/>
              <w:spacing w:before="72" w:beforeLines="30" w:after="72" w:afterLines="30" w:line="288" w:lineRule="auto"/>
              <w:rPr>
                <w:color w:val="000000" w:themeColor="text1"/>
                <w:lang w:val="en-GB"/>
                <w14:textFill>
                  <w14:solidFill>
                    <w14:schemeClr w14:val="tx1"/>
                  </w14:solidFill>
                </w14:textFill>
              </w:rPr>
            </w:pPr>
            <w:r>
              <w:rPr>
                <w:color w:val="000000" w:themeColor="text1"/>
                <w:lang w:val="en-GB"/>
                <w14:textFill>
                  <w14:solidFill>
                    <w14:schemeClr w14:val="tx1"/>
                  </w14:solidFill>
                </w14:textFill>
              </w:rPr>
              <w:t>For inter-vendor-collaboration Options 3a-1 and 4-1 in Direction A, performance target is confirmed as additional information along with the exchanged dataset or the model parameters.</w:t>
            </w:r>
          </w:p>
          <w:p>
            <w:pPr>
              <w:numPr>
                <w:ilvl w:val="0"/>
                <w:numId w:val="21"/>
              </w:numPr>
              <w:suppressAutoHyphens/>
              <w:snapToGrid w:val="0"/>
              <w:spacing w:before="72" w:beforeLines="30" w:after="72" w:afterLines="30" w:line="288" w:lineRule="auto"/>
              <w:jc w:val="both"/>
              <w:rPr>
                <w:rFonts w:eastAsia="宋体"/>
                <w:color w:val="000000" w:themeColor="text1"/>
                <w:lang w:val="en-GB" w:eastAsia="en-US"/>
                <w14:textFill>
                  <w14:solidFill>
                    <w14:schemeClr w14:val="tx1"/>
                  </w14:solidFill>
                </w14:textFill>
              </w:rPr>
            </w:pPr>
            <w:r>
              <w:rPr>
                <w:rFonts w:eastAsia="宋体"/>
                <w:color w:val="000000" w:themeColor="text1"/>
                <w:lang w:val="en-GB" w:eastAsia="en-US"/>
                <w14:textFill>
                  <w14:solidFill>
                    <w14:schemeClr w14:val="tx1"/>
                  </w14:solidFill>
                </w14:textFill>
              </w:rPr>
              <w:t>FFS: type of performance metric</w:t>
            </w:r>
          </w:p>
          <w:p>
            <w:pPr>
              <w:numPr>
                <w:ilvl w:val="0"/>
                <w:numId w:val="21"/>
              </w:numPr>
              <w:suppressAutoHyphens/>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eastAsia="宋体"/>
                <w:color w:val="000000" w:themeColor="text1"/>
                <w:lang w:val="en-GB" w:eastAsia="en-US"/>
                <w14:textFill>
                  <w14:solidFill>
                    <w14:schemeClr w14:val="tx1"/>
                  </w14:solidFill>
                </w14:textFill>
              </w:rPr>
              <w:t>FFS: input data for evaluating the performance</w:t>
            </w:r>
          </w:p>
        </w:tc>
      </w:tr>
    </w:tbl>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eastAsia="宋体"/>
          <w:bCs/>
          <w:color w:val="000000" w:themeColor="text1"/>
          <w14:textFill>
            <w14:solidFill>
              <w14:schemeClr w14:val="tx1"/>
            </w14:solidFill>
          </w14:textFill>
        </w:rPr>
        <w:t xml:space="preserve">Generally, the selection of performance metric is related to the encoder training strategies at the UE side. If the UE-side first develops a nominal decoder and then develops actual encoder against the nominal decoder, the end-to-end </w:t>
      </w:r>
      <w:r>
        <w:rPr>
          <w:rFonts w:hint="eastAsia" w:eastAsia="宋体"/>
          <w:bCs/>
          <w:color w:val="000000" w:themeColor="text1"/>
          <w14:textFill>
            <w14:solidFill>
              <w14:schemeClr w14:val="tx1"/>
            </w14:solidFill>
          </w14:textFill>
        </w:rPr>
        <w:t>performance</w:t>
      </w:r>
      <w:r>
        <w:rPr>
          <w:rFonts w:eastAsia="宋体"/>
          <w:bCs/>
          <w:color w:val="000000" w:themeColor="text1"/>
          <w14:textFill>
            <w14:solidFill>
              <w14:schemeClr w14:val="tx1"/>
            </w14:solidFill>
          </w14:textFill>
        </w:rPr>
        <w:t xml:space="preserve"> metric SGCS or SGCS statistic should be used for performance verification. Otherwise, if the UE-side directly develops and trains the actual encoder, NMSE </w:t>
      </w:r>
      <w:r>
        <w:rPr>
          <w:rFonts w:hint="eastAsia" w:eastAsia="宋体"/>
          <w:bCs/>
          <w:color w:val="000000" w:themeColor="text1"/>
          <w14:textFill>
            <w14:solidFill>
              <w14:schemeClr w14:val="tx1"/>
            </w14:solidFill>
          </w14:textFill>
        </w:rPr>
        <w:t>instead can</w:t>
      </w:r>
      <w:r>
        <w:rPr>
          <w:rFonts w:eastAsia="宋体"/>
          <w:bCs/>
          <w:color w:val="000000" w:themeColor="text1"/>
          <w14:textFill>
            <w14:solidFill>
              <w14:schemeClr w14:val="tx1"/>
            </w14:solidFill>
          </w14:textFill>
        </w:rPr>
        <w:t xml:space="preserve"> be used for verifying the accuracy of the encoder output. According to our initial evaluations, both two training strategies are eligible for encoder training. Nevertheless, SGCS statistic derived based on multiple samples is </w:t>
      </w:r>
      <w:r>
        <w:rPr>
          <w:rFonts w:hint="eastAsia" w:eastAsia="宋体"/>
          <w:bCs/>
          <w:color w:val="000000" w:themeColor="text1"/>
          <w14:textFill>
            <w14:solidFill>
              <w14:schemeClr w14:val="tx1"/>
            </w14:solidFill>
          </w14:textFill>
        </w:rPr>
        <w:t>preferable</w:t>
      </w:r>
      <w:r>
        <w:rPr>
          <w:rFonts w:eastAsia="宋体"/>
          <w:bCs/>
          <w:color w:val="000000" w:themeColor="text1"/>
          <w14:textFill>
            <w14:solidFill>
              <w14:schemeClr w14:val="tx1"/>
            </w14:solidFill>
          </w14:textFill>
        </w:rPr>
        <w:t xml:space="preserve"> as it ha</w:t>
      </w:r>
      <w:r>
        <w:rPr>
          <w:rFonts w:hint="eastAsia" w:eastAsia="宋体"/>
          <w:bCs/>
          <w:color w:val="000000" w:themeColor="text1"/>
          <w14:textFill>
            <w14:solidFill>
              <w14:schemeClr w14:val="tx1"/>
            </w14:solidFill>
          </w14:textFill>
        </w:rPr>
        <w:t>s</w:t>
      </w:r>
      <w:r>
        <w:rPr>
          <w:rFonts w:eastAsia="宋体"/>
          <w:bCs/>
          <w:color w:val="000000" w:themeColor="text1"/>
          <w14:textFill>
            <w14:solidFill>
              <w14:schemeClr w14:val="tx1"/>
            </w14:solidFill>
          </w14:textFill>
        </w:rPr>
        <w:t xml:space="preserve"> being used more generally in the evaluation of CSI compression. Another remaining issue is about the input data for evaluating the performance, i.e., whether the input data is transferred from the NW, collected by the UE, or a mixed dataset from both methods.</w:t>
      </w:r>
      <w:r>
        <w:rPr>
          <w:rFonts w:hint="eastAsia" w:eastAsia="宋体"/>
          <w:bCs/>
          <w:color w:val="000000" w:themeColor="text1"/>
          <w14:textFill>
            <w14:solidFill>
              <w14:schemeClr w14:val="tx1"/>
            </w14:solidFill>
          </w14:textFill>
        </w:rPr>
        <w:t xml:space="preserve"> According to all evaluations before, the impacting factors for end-to-end performance mainly include NW-side additional conditions (e.g., TxRU mappings, antenna height, antenna down tilt) and UE-side additional conditions. As the NW-side additional conditions can be aligned between NW and UE (e.g., by the exchange of associated ID abstracting NW-side additional condition), there would be no or minor data distribution mismatch issue between the target CSI collected by the NW and the target CSI collected by the UE. Then, the sharing of NW-side target CSI for testing is not necessary, which instead cause non-negligible signaling overhead. Additionally, it is noted that the NW-side target CSI may not well capture the UE-side additional conditions. If the performance verification is conducted based on the NW-side target CSI, it may face serious performance degradation in the field even the performance target is achieved during testing. Conversely, only the performance verification based on the UE autonomously collected data can reflect the realistic performance during model inference. Therefore, the input data for evaluating the performance should be the UE-side target CSI autonomously collected by the UE.</w:t>
      </w:r>
    </w:p>
    <w:p>
      <w:pPr>
        <w:pStyle w:val="147"/>
        <w:snapToGrid w:val="0"/>
        <w:spacing w:before="72" w:after="72"/>
        <w:jc w:val="both"/>
        <w:rPr>
          <w:b w:val="0"/>
          <w:color w:val="000000" w:themeColor="text1"/>
          <w:szCs w:val="20"/>
          <w:lang w:val="en-US"/>
          <w14:textFill>
            <w14:solidFill>
              <w14:schemeClr w14:val="tx1"/>
            </w14:solidFill>
          </w14:textFill>
        </w:rPr>
      </w:pPr>
      <w:r>
        <w:rPr>
          <w:b w:val="0"/>
          <w:color w:val="000000" w:themeColor="text1"/>
          <w:szCs w:val="20"/>
          <w14:textFill>
            <w14:solidFill>
              <w14:schemeClr w14:val="tx1"/>
            </w14:solidFill>
          </w14:textFill>
        </w:rPr>
        <w:t xml:space="preserve">For inter-vendor-collaboration Options 3a-1 and 4-1 in Direction A, </w:t>
      </w:r>
      <w:r>
        <w:rPr>
          <w:rFonts w:hint="eastAsia"/>
          <w:b w:val="0"/>
          <w:color w:val="000000" w:themeColor="text1"/>
          <w:szCs w:val="20"/>
          <w:lang w:val="en-US"/>
          <w14:textFill>
            <w14:solidFill>
              <w14:schemeClr w14:val="tx1"/>
            </w14:solidFill>
          </w14:textFill>
        </w:rPr>
        <w:t xml:space="preserve">adopting </w:t>
      </w:r>
      <w:r>
        <w:rPr>
          <w:b w:val="0"/>
          <w:color w:val="000000" w:themeColor="text1"/>
          <w:szCs w:val="20"/>
          <w:lang w:val="en-US"/>
          <w14:textFill>
            <w14:solidFill>
              <w14:schemeClr w14:val="tx1"/>
            </w14:solidFill>
          </w14:textFill>
        </w:rPr>
        <w:t>SGCS statistic</w:t>
      </w:r>
      <w:r>
        <w:rPr>
          <w:rFonts w:hint="eastAsia"/>
          <w:b w:val="0"/>
          <w:color w:val="000000" w:themeColor="text1"/>
          <w:szCs w:val="20"/>
          <w:lang w:val="en-US"/>
          <w14:textFill>
            <w14:solidFill>
              <w14:schemeClr w14:val="tx1"/>
            </w14:solidFill>
          </w14:textFill>
        </w:rPr>
        <w:t xml:space="preserve"> as the performance metric to facilitate UE-side offline engineering as a starting point.</w:t>
      </w:r>
    </w:p>
    <w:p>
      <w:pPr>
        <w:pStyle w:val="147"/>
        <w:snapToGrid w:val="0"/>
        <w:spacing w:before="72" w:after="72"/>
        <w:jc w:val="both"/>
        <w:rPr>
          <w:b w:val="0"/>
          <w:color w:val="000000" w:themeColor="text1"/>
          <w:szCs w:val="20"/>
          <w:lang w:val="en-US"/>
          <w14:textFill>
            <w14:solidFill>
              <w14:schemeClr w14:val="tx1"/>
            </w14:solidFill>
          </w14:textFill>
        </w:rPr>
      </w:pPr>
      <w:r>
        <w:rPr>
          <w:b w:val="0"/>
          <w:color w:val="000000" w:themeColor="text1"/>
          <w:szCs w:val="20"/>
          <w14:textFill>
            <w14:solidFill>
              <w14:schemeClr w14:val="tx1"/>
            </w14:solidFill>
          </w14:textFill>
        </w:rPr>
        <w:t xml:space="preserve">For inter-vendor-collaboration Options 3a-1 and 4-1 in Direction A, </w:t>
      </w:r>
      <w:r>
        <w:rPr>
          <w:rFonts w:hint="eastAsia"/>
          <w:b w:val="0"/>
          <w:color w:val="000000" w:themeColor="text1"/>
          <w:szCs w:val="20"/>
          <w:lang w:val="en-US"/>
          <w14:textFill>
            <w14:solidFill>
              <w14:schemeClr w14:val="tx1"/>
            </w14:solidFill>
          </w14:textFill>
        </w:rPr>
        <w:t>the input data for evaluating the performance is the UE-side target CSI autonomously collected by the UE.</w:t>
      </w:r>
    </w:p>
    <w:p>
      <w:pPr>
        <w:overflowPunct w:val="0"/>
        <w:snapToGrid w:val="0"/>
        <w:spacing w:before="72" w:beforeLines="30" w:after="72" w:afterLines="30" w:line="288" w:lineRule="auto"/>
        <w:jc w:val="both"/>
        <w:rPr>
          <w:rFonts w:eastAsia="宋体"/>
          <w:bCs/>
          <w:color w:val="000000" w:themeColor="text1"/>
          <w14:textFill>
            <w14:solidFill>
              <w14:schemeClr w14:val="tx1"/>
            </w14:solidFill>
          </w14:textFill>
        </w:rPr>
      </w:pP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2] NW</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proprietary information disclosure</w:t>
      </w:r>
    </w:p>
    <w:p>
      <w:pPr>
        <w:adjustRightInd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In RAN1#118b meeting, the following conclusion was obtained, which clarifies that there is no proprietary information concern of disclosing encoder input/output </w:t>
      </w:r>
      <w:r>
        <w:rPr>
          <w:color w:val="000000" w:themeColor="text1"/>
          <w14:textFill>
            <w14:solidFill>
              <w14:schemeClr w14:val="tx1"/>
            </w14:solidFill>
          </w14:textFill>
        </w:rPr>
        <w:t>from NW side to UE side</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for </w:t>
      </w:r>
      <w:r>
        <w:rPr>
          <w:rFonts w:hint="eastAsia" w:eastAsia="宋体"/>
          <w:bCs/>
          <w:color w:val="000000" w:themeColor="text1"/>
          <w14:textFill>
            <w14:solidFill>
              <w14:schemeClr w14:val="tx1"/>
            </w14:solidFill>
          </w14:textFill>
        </w:rPr>
        <w:t>option</w:t>
      </w:r>
      <w:r>
        <w:rPr>
          <w:rFonts w:hint="eastAsia"/>
          <w:color w:val="000000" w:themeColor="text1"/>
          <w14:textFill>
            <w14:solidFill>
              <w14:schemeClr w14:val="tx1"/>
            </w14:solidFill>
          </w14:textFill>
        </w:rPr>
        <w:t xml:space="preserve"> 4-1 and disclosing encoder parameters </w:t>
      </w:r>
      <w:r>
        <w:rPr>
          <w:color w:val="000000" w:themeColor="text1"/>
          <w14:textFill>
            <w14:solidFill>
              <w14:schemeClr w14:val="tx1"/>
            </w14:solidFill>
          </w14:textFill>
        </w:rPr>
        <w:t>from NW side to UE side</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for </w:t>
      </w:r>
      <w:r>
        <w:rPr>
          <w:rFonts w:hint="eastAsia" w:eastAsia="宋体"/>
          <w:bCs/>
          <w:color w:val="000000" w:themeColor="text1"/>
          <w14:textFill>
            <w14:solidFill>
              <w14:schemeClr w14:val="tx1"/>
            </w14:solidFill>
          </w14:textFill>
        </w:rPr>
        <w:t>option</w:t>
      </w:r>
      <w:r>
        <w:rPr>
          <w:rFonts w:hint="eastAsia"/>
          <w:color w:val="000000" w:themeColor="text1"/>
          <w14:textFill>
            <w14:solidFill>
              <w14:schemeClr w14:val="tx1"/>
            </w14:solidFill>
          </w14:textFill>
        </w:rPr>
        <w:t xml:space="preserve"> 3a-1.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000000" w:themeColor="text1"/>
                <w14:textFill>
                  <w14:solidFill>
                    <w14:schemeClr w14:val="tx1"/>
                  </w14:solidFill>
                </w14:textFill>
              </w:rPr>
            </w:pPr>
            <w:r>
              <w:rPr>
                <w:rFonts w:eastAsia="等线"/>
                <w:b/>
                <w:color w:val="000000" w:themeColor="text1"/>
                <w14:textFill>
                  <w14:solidFill>
                    <w14:schemeClr w14:val="tx1"/>
                  </w14:solidFill>
                </w14:textFill>
              </w:rPr>
              <w:t>Conclusion</w:t>
            </w:r>
          </w:p>
          <w:p>
            <w:pPr>
              <w:snapToGrid w:val="0"/>
              <w:spacing w:before="72" w:beforeLines="30" w:after="72" w:afterLines="30" w:line="288" w:lineRule="auto"/>
              <w:rPr>
                <w:color w:val="000000" w:themeColor="text1"/>
                <w14:textFill>
                  <w14:solidFill>
                    <w14:schemeClr w14:val="tx1"/>
                  </w14:solidFill>
                </w14:textFill>
              </w:rPr>
            </w:pPr>
            <w:r>
              <w:rPr>
                <w:color w:val="000000" w:themeColor="text1"/>
                <w14:textFill>
                  <w14:solidFill>
                    <w14:schemeClr w14:val="tx1"/>
                  </w14:solidFill>
                </w14:textFill>
              </w:rPr>
              <w:t xml:space="preserve">For issues listed for inter-vendor collaboration </w:t>
            </w:r>
            <w:r>
              <w:rPr>
                <w:rFonts w:hint="eastAsia" w:eastAsia="宋体"/>
                <w:color w:val="000000" w:themeColor="text1"/>
                <w14:textFill>
                  <w14:solidFill>
                    <w14:schemeClr w14:val="tx1"/>
                  </w14:solidFill>
                </w14:textFill>
              </w:rPr>
              <w:t>Direction A</w:t>
            </w:r>
            <w:r>
              <w:rPr>
                <w:color w:val="000000" w:themeColor="text1"/>
                <w14:textFill>
                  <w14:solidFill>
                    <w14:schemeClr w14:val="tx1"/>
                  </w14:solidFill>
                </w14:textFill>
              </w:rPr>
              <w:t>, conclude the following</w:t>
            </w:r>
          </w:p>
          <w:p>
            <w:pPr>
              <w:numPr>
                <w:ilvl w:val="0"/>
                <w:numId w:val="21"/>
              </w:numPr>
              <w:suppressAutoHyphens/>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Answer to </w:t>
            </w:r>
            <w:r>
              <w:rPr>
                <w:rFonts w:eastAsia="宋体"/>
                <w:color w:val="000000" w:themeColor="text1"/>
                <w14:textFill>
                  <w14:solidFill>
                    <w14:schemeClr w14:val="tx1"/>
                  </w14:solidFill>
                </w14:textFill>
              </w:rPr>
              <w:t xml:space="preserve">Issue 2: </w:t>
            </w:r>
            <w:r>
              <w:rPr>
                <w:rFonts w:hint="eastAsia" w:eastAsia="宋体"/>
                <w:color w:val="000000" w:themeColor="text1"/>
                <w14:textFill>
                  <w14:solidFill>
                    <w14:schemeClr w14:val="tx1"/>
                  </w14:solidFill>
                </w14:textFill>
              </w:rPr>
              <w:t xml:space="preserve">From RAN1 perspective, at least, </w:t>
            </w:r>
          </w:p>
          <w:p>
            <w:pPr>
              <w:numPr>
                <w:ilvl w:val="1"/>
                <w:numId w:val="22"/>
              </w:numPr>
              <w:suppressAutoHyphens/>
              <w:snapToGrid w:val="0"/>
              <w:spacing w:before="72" w:beforeLines="30" w:after="72" w:afterLines="30" w:line="288" w:lineRule="auto"/>
              <w:rPr>
                <w:color w:val="000000" w:themeColor="text1"/>
                <w14:textFill>
                  <w14:solidFill>
                    <w14:schemeClr w14:val="tx1"/>
                  </w14:solidFill>
                </w14:textFill>
              </w:rPr>
            </w:pPr>
            <w:r>
              <w:rPr>
                <w:rFonts w:eastAsia="等线"/>
                <w:color w:val="000000" w:themeColor="text1"/>
                <w14:textFill>
                  <w14:solidFill>
                    <w14:schemeClr w14:val="tx1"/>
                  </w14:solidFill>
                </w14:textFill>
              </w:rPr>
              <w:t>F</w:t>
            </w:r>
            <w:r>
              <w:rPr>
                <w:rFonts w:hint="eastAsia" w:eastAsia="等线"/>
                <w:color w:val="000000" w:themeColor="text1"/>
                <w14:textFill>
                  <w14:solidFill>
                    <w14:schemeClr w14:val="tx1"/>
                  </w14:solidFill>
                </w14:textFill>
              </w:rPr>
              <w:t>or option 4-1, t</w:t>
            </w:r>
            <w:r>
              <w:rPr>
                <w:color w:val="000000" w:themeColor="text1"/>
                <w14:textFill>
                  <w14:solidFill>
                    <w14:schemeClr w14:val="tx1"/>
                  </w14:solidFill>
                </w14:textFill>
              </w:rPr>
              <w:t xml:space="preserve">here is no proprietary information concern </w:t>
            </w:r>
            <w:r>
              <w:rPr>
                <w:rFonts w:hint="eastAsia" w:eastAsia="等线"/>
                <w:color w:val="000000" w:themeColor="text1"/>
                <w14:textFill>
                  <w14:solidFill>
                    <w14:schemeClr w14:val="tx1"/>
                  </w14:solidFill>
                </w14:textFill>
              </w:rPr>
              <w:t xml:space="preserve">of </w:t>
            </w:r>
            <w:r>
              <w:rPr>
                <w:color w:val="000000" w:themeColor="text1"/>
                <w14:textFill>
                  <w14:solidFill>
                    <w14:schemeClr w14:val="tx1"/>
                  </w14:solidFill>
                </w14:textFill>
              </w:rPr>
              <w:t>disclosing encoder input/output from NW side to UE side</w:t>
            </w:r>
          </w:p>
          <w:p>
            <w:pPr>
              <w:numPr>
                <w:ilvl w:val="1"/>
                <w:numId w:val="22"/>
              </w:numPr>
              <w:suppressAutoHyphens/>
              <w:snapToGrid w:val="0"/>
              <w:spacing w:before="72" w:beforeLines="30" w:after="72" w:afterLines="30" w:line="288" w:lineRule="auto"/>
              <w:rPr>
                <w:color w:val="000000" w:themeColor="text1"/>
                <w14:textFill>
                  <w14:solidFill>
                    <w14:schemeClr w14:val="tx1"/>
                  </w14:solidFill>
                </w14:textFill>
              </w:rPr>
            </w:pPr>
            <w:r>
              <w:rPr>
                <w:rFonts w:hint="eastAsia" w:eastAsia="等线"/>
                <w:color w:val="000000" w:themeColor="text1"/>
                <w14:textFill>
                  <w14:solidFill>
                    <w14:schemeClr w14:val="tx1"/>
                  </w14:solidFill>
                </w14:textFill>
              </w:rPr>
              <w:t>For option 3a-1, t</w:t>
            </w:r>
            <w:r>
              <w:rPr>
                <w:color w:val="000000" w:themeColor="text1"/>
                <w14:textFill>
                  <w14:solidFill>
                    <w14:schemeClr w14:val="tx1"/>
                  </w14:solidFill>
                </w14:textFill>
              </w:rPr>
              <w:t xml:space="preserve">here is no proprietary information concern </w:t>
            </w:r>
            <w:r>
              <w:rPr>
                <w:rFonts w:hint="eastAsia" w:eastAsia="等线"/>
                <w:color w:val="000000" w:themeColor="text1"/>
                <w14:textFill>
                  <w14:solidFill>
                    <w14:schemeClr w14:val="tx1"/>
                  </w14:solidFill>
                </w14:textFill>
              </w:rPr>
              <w:t xml:space="preserve">of </w:t>
            </w:r>
            <w:r>
              <w:rPr>
                <w:color w:val="000000" w:themeColor="text1"/>
                <w14:textFill>
                  <w14:solidFill>
                    <w14:schemeClr w14:val="tx1"/>
                  </w14:solidFill>
                </w14:textFill>
              </w:rPr>
              <w:t xml:space="preserve">disclosing encoder </w:t>
            </w:r>
            <w:r>
              <w:rPr>
                <w:rFonts w:hint="eastAsia" w:eastAsia="等线"/>
                <w:color w:val="000000" w:themeColor="text1"/>
                <w14:textFill>
                  <w14:solidFill>
                    <w14:schemeClr w14:val="tx1"/>
                  </w14:solidFill>
                </w14:textFill>
              </w:rPr>
              <w:t>parameters</w:t>
            </w:r>
            <w:r>
              <w:rPr>
                <w:color w:val="000000" w:themeColor="text1"/>
                <w14:textFill>
                  <w14:solidFill>
                    <w14:schemeClr w14:val="tx1"/>
                  </w14:solidFill>
                </w14:textFill>
              </w:rPr>
              <w:t xml:space="preserve"> from NW side to UE side</w:t>
            </w:r>
          </w:p>
          <w:p>
            <w:pPr>
              <w:numPr>
                <w:ilvl w:val="1"/>
                <w:numId w:val="22"/>
              </w:numPr>
              <w:suppressAutoHyphens/>
              <w:snapToGrid w:val="0"/>
              <w:spacing w:before="72" w:beforeLines="30" w:after="72" w:afterLines="30" w:line="288" w:lineRule="auto"/>
              <w:rPr>
                <w:color w:val="000000" w:themeColor="text1"/>
                <w14:textFill>
                  <w14:solidFill>
                    <w14:schemeClr w14:val="tx1"/>
                  </w14:solidFill>
                </w14:textFill>
              </w:rPr>
            </w:pPr>
            <w:r>
              <w:rPr>
                <w:rFonts w:hint="eastAsia" w:eastAsia="等线"/>
                <w:color w:val="000000" w:themeColor="text1"/>
                <w14:textFill>
                  <w14:solidFill>
                    <w14:schemeClr w14:val="tx1"/>
                  </w14:solidFill>
                </w14:textFill>
              </w:rPr>
              <w:t xml:space="preserve">Note: If some additional information is disclosed from network side to UE side, </w:t>
            </w:r>
            <w:r>
              <w:rPr>
                <w:rFonts w:eastAsia="等线"/>
                <w:color w:val="000000" w:themeColor="text1"/>
                <w14:textFill>
                  <w14:solidFill>
                    <w14:schemeClr w14:val="tx1"/>
                  </w14:solidFill>
                </w14:textFill>
              </w:rPr>
              <w:t>proprietary</w:t>
            </w:r>
            <w:r>
              <w:rPr>
                <w:rFonts w:hint="eastAsia" w:eastAsia="等线"/>
                <w:color w:val="000000" w:themeColor="text1"/>
                <w14:textFill>
                  <w14:solidFill>
                    <w14:schemeClr w14:val="tx1"/>
                  </w14:solidFill>
                </w14:textFill>
              </w:rPr>
              <w:t xml:space="preserve"> concerns for option 4-1 and 3a-1 can not be precluded by default.</w:t>
            </w:r>
          </w:p>
        </w:tc>
      </w:tr>
    </w:tbl>
    <w:p>
      <w:pPr>
        <w:adjustRightInd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As mentioned above, there is a need for some additional information sharing from NW side to UE side to facilitate offline engineering tasks at the UE side. The specific information to be shared differs among different inter-vendor collaboration options, resulting in different degrees of </w:t>
      </w:r>
      <w:r>
        <w:rPr>
          <w:rFonts w:hint="eastAsia"/>
          <w:color w:val="000000" w:themeColor="text1"/>
          <w14:textFill>
            <w14:solidFill>
              <w14:schemeClr w14:val="tx1"/>
            </w14:solidFill>
          </w14:textFill>
        </w:rPr>
        <w:t>disclosure</w:t>
      </w:r>
      <w:r>
        <w:rPr>
          <w:rFonts w:hint="eastAsia" w:eastAsia="宋体"/>
          <w:color w:val="000000" w:themeColor="text1"/>
          <w14:textFill>
            <w14:solidFill>
              <w14:schemeClr w14:val="tx1"/>
            </w14:solidFill>
          </w14:textFill>
        </w:rPr>
        <w:t xml:space="preserve"> of the </w:t>
      </w:r>
      <w:r>
        <w:rPr>
          <w:rFonts w:hint="eastAsia"/>
          <w:color w:val="000000" w:themeColor="text1"/>
          <w14:textFill>
            <w14:solidFill>
              <w14:schemeClr w14:val="tx1"/>
            </w14:solidFill>
          </w14:textFill>
        </w:rPr>
        <w:t>NW</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proprietary information</w:t>
      </w:r>
      <w:r>
        <w:rPr>
          <w:rFonts w:hint="eastAsia" w:eastAsia="宋体"/>
          <w:color w:val="000000" w:themeColor="text1"/>
          <w14:textFill>
            <w14:solidFill>
              <w14:schemeClr w14:val="tx1"/>
            </w14:solidFill>
          </w14:textFill>
        </w:rPr>
        <w:t xml:space="preserve">. For option 3a-1, assuming the NW-side additional condition of the training dataset can be aligned between NW and UE by the indication of model ID or associated ID (as defined in other use cases), the UE side can collect the training dataset by implementations. In this case, only performance target needs to be shared from NW to UE and thus there is no proprietary information concern. For options 4-1, apart from the sharing of performance target, additional information regarding the model backbone or structure may need to be shared from NW to UE to facilitate the UE-side encoder training procedures. The model backbone or structure information, potentially along with some </w:t>
      </w:r>
      <w:r>
        <w:rPr>
          <w:rFonts w:eastAsia="宋体"/>
          <w:color w:val="000000" w:themeColor="text1"/>
          <w:szCs w:val="20"/>
          <w14:textFill>
            <w14:solidFill>
              <w14:schemeClr w14:val="tx1"/>
            </w14:solidFill>
          </w14:textFill>
        </w:rPr>
        <w:t>hyper</w:t>
      </w:r>
      <w:r>
        <w:rPr>
          <w:rFonts w:hint="eastAsia" w:eastAsia="宋体"/>
          <w:color w:val="000000" w:themeColor="text1"/>
          <w:szCs w:val="20"/>
          <w14:textFill>
            <w14:solidFill>
              <w14:schemeClr w14:val="tx1"/>
            </w14:solidFill>
          </w14:textFill>
        </w:rPr>
        <w:t>-</w:t>
      </w:r>
      <w:r>
        <w:rPr>
          <w:rFonts w:eastAsia="宋体"/>
          <w:color w:val="000000" w:themeColor="text1"/>
          <w:szCs w:val="20"/>
          <w14:textFill>
            <w14:solidFill>
              <w14:schemeClr w14:val="tx1"/>
            </w14:solidFill>
          </w14:textFill>
        </w:rPr>
        <w:t xml:space="preserve">parameters </w:t>
      </w:r>
      <w:r>
        <w:rPr>
          <w:rFonts w:hint="eastAsia" w:eastAsia="宋体"/>
          <w:color w:val="000000" w:themeColor="text1"/>
          <w:szCs w:val="20"/>
          <w14:textFill>
            <w14:solidFill>
              <w14:schemeClr w14:val="tx1"/>
            </w14:solidFill>
          </w14:textFill>
        </w:rPr>
        <w:t xml:space="preserve">related to the encoder/decoder training implementations at the NW side, may involve </w:t>
      </w:r>
      <w:r>
        <w:rPr>
          <w:rFonts w:hint="eastAsia"/>
          <w:color w:val="000000" w:themeColor="text1"/>
          <w14:textFill>
            <w14:solidFill>
              <w14:schemeClr w14:val="tx1"/>
            </w14:solidFill>
          </w14:textFill>
        </w:rPr>
        <w:t>NW</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proprietary information disclosure</w:t>
      </w:r>
      <w:r>
        <w:rPr>
          <w:rFonts w:hint="eastAsia" w:eastAsia="宋体"/>
          <w:color w:val="000000" w:themeColor="text1"/>
          <w14:textFill>
            <w14:solidFill>
              <w14:schemeClr w14:val="tx1"/>
            </w14:solidFill>
          </w14:textFill>
        </w:rPr>
        <w:t xml:space="preserve"> risks if shared to the opposite node openly.</w:t>
      </w:r>
    </w:p>
    <w:p>
      <w:pPr>
        <w:widowControl w:val="0"/>
        <w:snapToGrid w:val="0"/>
        <w:spacing w:before="72" w:beforeLines="30" w:after="72" w:afterLines="30" w:line="288" w:lineRule="auto"/>
        <w:jc w:val="both"/>
        <w:rPr>
          <w:rFonts w:eastAsia="宋体"/>
          <w:i/>
          <w:color w:val="000000" w:themeColor="text1"/>
          <w14:textFill>
            <w14:solidFill>
              <w14:schemeClr w14:val="tx1"/>
            </w14:solidFill>
          </w14:textFill>
        </w:rPr>
      </w:pPr>
      <w:bookmarkStart w:id="2" w:name="_Hlk178349115"/>
      <w:r>
        <w:rPr>
          <w:rFonts w:hint="eastAsia" w:eastAsiaTheme="minorEastAsia"/>
          <w:b/>
          <w:i/>
          <w:color w:val="000000" w:themeColor="text1"/>
          <w14:textFill>
            <w14:solidFill>
              <w14:schemeClr w14:val="tx1"/>
            </w14:solidFill>
          </w14:textFill>
        </w:rPr>
        <w:t>Observation</w:t>
      </w:r>
      <w:r>
        <w:rPr>
          <w:rFonts w:eastAsiaTheme="minorEastAsia"/>
          <w:b/>
          <w:i/>
          <w:color w:val="000000" w:themeColor="text1"/>
          <w14:textFill>
            <w14:solidFill>
              <w14:schemeClr w14:val="tx1"/>
            </w14:solidFill>
          </w14:textFill>
        </w:rPr>
        <w:t xml:space="preserve"> </w:t>
      </w:r>
      <w:r>
        <w:rPr>
          <w:rFonts w:hint="eastAsia" w:eastAsiaTheme="minorEastAsia"/>
          <w:b/>
          <w:i/>
          <w:color w:val="000000" w:themeColor="text1"/>
          <w:lang w:val="en-US" w:eastAsia="zh-CN"/>
          <w14:textFill>
            <w14:solidFill>
              <w14:schemeClr w14:val="tx1"/>
            </w14:solidFill>
          </w14:textFill>
        </w:rPr>
        <w:t>3</w:t>
      </w:r>
      <w:r>
        <w:rPr>
          <w:rFonts w:eastAsiaTheme="minorEastAsia"/>
          <w:b/>
          <w:i/>
          <w:color w:val="000000" w:themeColor="text1"/>
          <w14:textFill>
            <w14:solidFill>
              <w14:schemeClr w14:val="tx1"/>
            </w14:solidFill>
          </w14:textFill>
        </w:rPr>
        <w:t xml:space="preserve">: </w:t>
      </w:r>
      <w:r>
        <w:rPr>
          <w:rFonts w:hint="eastAsia" w:eastAsiaTheme="minorEastAsia"/>
          <w:i/>
          <w:color w:val="000000" w:themeColor="text1"/>
          <w14:textFill>
            <w14:solidFill>
              <w14:schemeClr w14:val="tx1"/>
            </w14:solidFill>
          </w14:textFill>
        </w:rPr>
        <w:t xml:space="preserve">For options 3a-1 and 4-1 of Direction A, </w:t>
      </w:r>
      <w:r>
        <w:rPr>
          <w:rFonts w:hint="eastAsia" w:eastAsia="等线"/>
          <w:i/>
          <w:color w:val="000000" w:themeColor="text1"/>
          <w14:textFill>
            <w14:solidFill>
              <w14:schemeClr w14:val="tx1"/>
            </w14:solidFill>
          </w14:textFill>
        </w:rPr>
        <w:t>t</w:t>
      </w:r>
      <w:r>
        <w:rPr>
          <w:i/>
          <w:color w:val="000000" w:themeColor="text1"/>
          <w14:textFill>
            <w14:solidFill>
              <w14:schemeClr w14:val="tx1"/>
            </w14:solidFill>
          </w14:textFill>
        </w:rPr>
        <w:t xml:space="preserve">here is no proprietary information concern </w:t>
      </w:r>
      <w:r>
        <w:rPr>
          <w:rFonts w:hint="eastAsia" w:eastAsia="等线"/>
          <w:i/>
          <w:color w:val="000000" w:themeColor="text1"/>
          <w14:textFill>
            <w14:solidFill>
              <w14:schemeClr w14:val="tx1"/>
            </w14:solidFill>
          </w14:textFill>
        </w:rPr>
        <w:t xml:space="preserve">of </w:t>
      </w:r>
      <w:r>
        <w:rPr>
          <w:i/>
          <w:color w:val="000000" w:themeColor="text1"/>
          <w14:textFill>
            <w14:solidFill>
              <w14:schemeClr w14:val="tx1"/>
            </w14:solidFill>
          </w14:textFill>
        </w:rPr>
        <w:t xml:space="preserve">disclosing </w:t>
      </w:r>
      <w:r>
        <w:rPr>
          <w:rFonts w:hint="eastAsia" w:eastAsia="宋体"/>
          <w:i/>
          <w:color w:val="000000" w:themeColor="text1"/>
          <w14:textFill>
            <w14:solidFill>
              <w14:schemeClr w14:val="tx1"/>
            </w14:solidFill>
          </w14:textFill>
        </w:rPr>
        <w:t>p</w:t>
      </w:r>
      <w:r>
        <w:rPr>
          <w:rFonts w:hint="eastAsia"/>
          <w:i/>
          <w:color w:val="000000" w:themeColor="text1"/>
          <w14:textFill>
            <w14:solidFill>
              <w14:schemeClr w14:val="tx1"/>
            </w14:solidFill>
          </w14:textFill>
        </w:rPr>
        <w:t>erformance requirements</w:t>
      </w:r>
      <w:r>
        <w:rPr>
          <w:i/>
          <w:color w:val="000000" w:themeColor="text1"/>
          <w14:textFill>
            <w14:solidFill>
              <w14:schemeClr w14:val="tx1"/>
            </w14:solidFill>
          </w14:textFill>
        </w:rPr>
        <w:t xml:space="preserve"> from NW side to UE side</w:t>
      </w:r>
      <w:r>
        <w:rPr>
          <w:rFonts w:hint="eastAsia" w:eastAsia="宋体"/>
          <w:i/>
          <w:color w:val="000000" w:themeColor="text1"/>
          <w14:textFill>
            <w14:solidFill>
              <w14:schemeClr w14:val="tx1"/>
            </w14:solidFill>
          </w14:textFill>
        </w:rPr>
        <w:t>.</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option 4-1 of Direction A, the model backbone or structure information can only be shared to the opposite node if the proprietary information of the NW side can be maintained.</w:t>
      </w:r>
    </w:p>
    <w:bookmarkEnd w:id="2"/>
    <w:p>
      <w:pPr>
        <w:adjustRightInd w:val="0"/>
        <w:snapToGrid w:val="0"/>
        <w:spacing w:before="72" w:beforeLines="30" w:after="72" w:afterLines="30" w:line="288" w:lineRule="auto"/>
        <w:jc w:val="both"/>
        <w:rPr>
          <w:color w:val="000000" w:themeColor="text1"/>
          <w14:textFill>
            <w14:solidFill>
              <w14:schemeClr w14:val="tx1"/>
            </w14:solidFill>
          </w14:textFill>
        </w:rPr>
      </w:pP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3] Overhead for parameter/dataset/model exchange</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Apparently, the overhead depends on whether parameter/dataset/model related to the encoder and/or decoder is exchanged from the NW side to UE side. According to clause 6.2.2.1 of TR 38.843, majority companies </w:t>
      </w:r>
      <w:r>
        <w:rPr>
          <w:color w:val="000000" w:themeColor="text1"/>
          <w14:textFill>
            <w14:solidFill>
              <w14:schemeClr w14:val="tx1"/>
            </w14:solidFill>
          </w14:textFill>
        </w:rPr>
        <w:t xml:space="preserve">adopt the </w:t>
      </w:r>
      <w:r>
        <w:rPr>
          <w:rFonts w:hint="eastAsia"/>
          <w:color w:val="000000" w:themeColor="text1"/>
          <w14:textFill>
            <w14:solidFill>
              <w14:schemeClr w14:val="tx1"/>
            </w14:solidFill>
          </w14:textFill>
        </w:rPr>
        <w:t>encoder</w:t>
      </w:r>
      <w:r>
        <w:rPr>
          <w:color w:val="000000" w:themeColor="text1"/>
          <w14:textFill>
            <w14:solidFill>
              <w14:schemeClr w14:val="tx1"/>
            </w14:solidFill>
          </w14:textFill>
        </w:rPr>
        <w:t xml:space="preserve"> subject to the number of parameters from 1M to 13M, and adopt the </w:t>
      </w:r>
      <w:r>
        <w:rPr>
          <w:rFonts w:hint="eastAsia"/>
          <w:color w:val="000000" w:themeColor="text1"/>
          <w14:textFill>
            <w14:solidFill>
              <w14:schemeClr w14:val="tx1"/>
            </w14:solidFill>
          </w14:textFill>
        </w:rPr>
        <w:t>decoder</w:t>
      </w:r>
      <w:r>
        <w:rPr>
          <w:color w:val="000000" w:themeColor="text1"/>
          <w14:textFill>
            <w14:solidFill>
              <w14:schemeClr w14:val="tx1"/>
            </w14:solidFill>
          </w14:textFill>
        </w:rPr>
        <w:t xml:space="preserve"> subject to the number of parameters from 1M to 17M.</w:t>
      </w:r>
      <w:r>
        <w:rPr>
          <w:rFonts w:hint="eastAsia"/>
          <w:color w:val="000000" w:themeColor="text1"/>
          <w14:textFill>
            <w14:solidFill>
              <w14:schemeClr w14:val="tx1"/>
            </w14:solidFill>
          </w14:textFill>
        </w:rPr>
        <w:t xml:space="preserve"> However, as high as </w:t>
      </w:r>
      <w:r>
        <w:rPr>
          <w:rFonts w:hint="eastAsia" w:eastAsia="宋体"/>
          <w:color w:val="000000" w:themeColor="text1"/>
          <w14:textFill>
            <w14:solidFill>
              <w14:schemeClr w14:val="tx1"/>
            </w14:solidFill>
          </w14:textFill>
        </w:rPr>
        <w:t>10G</w:t>
      </w:r>
      <w:r>
        <w:rPr>
          <w:rFonts w:hint="eastAsia"/>
          <w:color w:val="000000" w:themeColor="text1"/>
          <w14:textFill>
            <w14:solidFill>
              <w14:schemeClr w14:val="tx1"/>
            </w14:solidFill>
          </w14:textFill>
        </w:rPr>
        <w:t xml:space="preserve"> data samples are </w:t>
      </w:r>
      <w:r>
        <w:rPr>
          <w:color w:val="000000" w:themeColor="text1"/>
          <w14:textFill>
            <w14:solidFill>
              <w14:schemeClr w14:val="tx1"/>
            </w14:solidFill>
          </w14:textFill>
        </w:rPr>
        <w:t>adopt</w:t>
      </w:r>
      <w:r>
        <w:rPr>
          <w:rFonts w:hint="eastAsia"/>
          <w:color w:val="000000" w:themeColor="text1"/>
          <w14:textFill>
            <w14:solidFill>
              <w14:schemeClr w14:val="tx1"/>
            </w14:solidFill>
          </w14:textFill>
        </w:rPr>
        <w:t xml:space="preserve">ed for Type 3 NW-first training, leading to </w:t>
      </w:r>
      <w:r>
        <w:rPr>
          <w:color w:val="000000" w:themeColor="text1"/>
          <w14:textFill>
            <w14:solidFill>
              <w14:schemeClr w14:val="tx1"/>
            </w14:solidFill>
          </w14:textFill>
        </w:rPr>
        <w:t>considerable</w:t>
      </w:r>
      <w:r>
        <w:rPr>
          <w:rFonts w:hint="eastAsia"/>
          <w:color w:val="000000" w:themeColor="text1"/>
          <w14:textFill>
            <w14:solidFill>
              <w14:schemeClr w14:val="tx1"/>
            </w14:solidFill>
          </w14:textFill>
        </w:rPr>
        <w:t xml:space="preserve"> overhead and resource consumption for dataset exchange</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in </w:t>
      </w:r>
      <w:r>
        <w:rPr>
          <w:rFonts w:hint="eastAsia" w:eastAsia="宋体"/>
          <w:color w:val="000000" w:themeColor="text1"/>
          <w14:textFill>
            <w14:solidFill>
              <w14:schemeClr w14:val="tx1"/>
            </w14:solidFill>
          </w14:textFill>
        </w:rPr>
        <w:t>option</w:t>
      </w:r>
      <w:r>
        <w:rPr>
          <w:rFonts w:hint="eastAsia"/>
          <w:color w:val="000000" w:themeColor="text1"/>
          <w14:textFill>
            <w14:solidFill>
              <w14:schemeClr w14:val="tx1"/>
            </w14:solidFill>
          </w14:textFill>
        </w:rPr>
        <w:t xml:space="preserve"> 4</w:t>
      </w:r>
      <w:r>
        <w:rPr>
          <w:rFonts w:hint="eastAsia" w:eastAsia="宋体"/>
          <w:color w:val="000000" w:themeColor="text1"/>
          <w14:textFill>
            <w14:solidFill>
              <w14:schemeClr w14:val="tx1"/>
            </w14:solidFill>
          </w14:textFill>
        </w:rPr>
        <w:t>-1</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This is especially true when compared to </w:t>
      </w:r>
      <w:r>
        <w:rPr>
          <w:rFonts w:hint="eastAsia" w:eastAsia="宋体"/>
          <w:color w:val="000000" w:themeColor="text1"/>
          <w14:textFill>
            <w14:solidFill>
              <w14:schemeClr w14:val="tx1"/>
            </w14:solidFill>
          </w14:textFill>
        </w:rPr>
        <w:t>option</w:t>
      </w:r>
      <w:r>
        <w:rPr>
          <w:color w:val="000000" w:themeColor="text1"/>
          <w14:textFill>
            <w14:solidFill>
              <w14:schemeClr w14:val="tx1"/>
            </w14:solidFill>
          </w14:textFill>
        </w:rPr>
        <w:t xml:space="preserve"> 3a</w:t>
      </w:r>
      <w:r>
        <w:rPr>
          <w:rFonts w:hint="eastAsia" w:eastAsia="宋体"/>
          <w:color w:val="000000" w:themeColor="text1"/>
          <w14:textFill>
            <w14:solidFill>
              <w14:schemeClr w14:val="tx1"/>
            </w14:solidFill>
          </w14:textFill>
        </w:rPr>
        <w:t>-1</w:t>
      </w:r>
      <w:r>
        <w:rPr>
          <w:color w:val="000000" w:themeColor="text1"/>
          <w14:textFill>
            <w14:solidFill>
              <w14:schemeClr w14:val="tx1"/>
            </w14:solidFill>
          </w14:textFill>
        </w:rPr>
        <w:t>, which incur much lower overhead due to the nature of their parameter exchange mechanisms.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In light of these observations, it can be concluded that </w:t>
      </w:r>
      <w:r>
        <w:rPr>
          <w:rFonts w:hint="eastAsia" w:eastAsia="宋体"/>
          <w:color w:val="000000" w:themeColor="text1"/>
          <w14:textFill>
            <w14:solidFill>
              <w14:schemeClr w14:val="tx1"/>
            </w14:solidFill>
          </w14:textFill>
        </w:rPr>
        <w:t>option</w:t>
      </w:r>
      <w:r>
        <w:rPr>
          <w:color w:val="000000" w:themeColor="text1"/>
          <w14:textFill>
            <w14:solidFill>
              <w14:schemeClr w14:val="tx1"/>
            </w14:solidFill>
          </w14:textFill>
        </w:rPr>
        <w:t xml:space="preserve"> 4</w:t>
      </w:r>
      <w:r>
        <w:rPr>
          <w:rFonts w:hint="eastAsia" w:eastAsia="宋体"/>
          <w:color w:val="000000" w:themeColor="text1"/>
          <w14:textFill>
            <w14:solidFill>
              <w14:schemeClr w14:val="tx1"/>
            </w14:solidFill>
          </w14:textFill>
        </w:rPr>
        <w:t>-1</w:t>
      </w:r>
      <w:r>
        <w:rPr>
          <w:color w:val="000000" w:themeColor="text1"/>
          <w14:textFill>
            <w14:solidFill>
              <w14:schemeClr w14:val="tx1"/>
            </w14:solidFill>
          </w14:textFill>
        </w:rPr>
        <w:t xml:space="preserve"> faces </w:t>
      </w:r>
      <w:r>
        <w:rPr>
          <w:rFonts w:hint="eastAsia"/>
          <w:color w:val="000000" w:themeColor="text1"/>
          <w14:textFill>
            <w14:solidFill>
              <w14:schemeClr w14:val="tx1"/>
            </w14:solidFill>
          </w14:textFill>
        </w:rPr>
        <w:t xml:space="preserve">serious </w:t>
      </w:r>
      <w:r>
        <w:rPr>
          <w:color w:val="000000" w:themeColor="text1"/>
          <w14:textFill>
            <w14:solidFill>
              <w14:schemeClr w14:val="tx1"/>
            </w14:solidFill>
          </w14:textFill>
        </w:rPr>
        <w:t>overhead concerns</w:t>
      </w:r>
      <w:r>
        <w:rPr>
          <w:rFonts w:hint="eastAsia" w:eastAsia="宋体"/>
          <w:color w:val="000000" w:themeColor="text1"/>
          <w14:textFill>
            <w14:solidFill>
              <w14:schemeClr w14:val="tx1"/>
            </w14:solidFill>
          </w14:textFill>
        </w:rPr>
        <w:t>, regardless of whether it is implemented by over the air delivery or offline delivery method</w:t>
      </w:r>
      <w:r>
        <w:rPr>
          <w:color w:val="000000" w:themeColor="text1"/>
          <w14:textFill>
            <w14:solidFill>
              <w14:schemeClr w14:val="tx1"/>
            </w14:solidFill>
          </w14:textFill>
        </w:rPr>
        <w:t xml:space="preserve">. The extent of this overhead raises questions about the feasibility of implementing </w:t>
      </w:r>
      <w:r>
        <w:rPr>
          <w:rFonts w:hint="eastAsia" w:eastAsia="宋体"/>
          <w:color w:val="000000" w:themeColor="text1"/>
          <w14:textFill>
            <w14:solidFill>
              <w14:schemeClr w14:val="tx1"/>
            </w14:solidFill>
          </w14:textFill>
        </w:rPr>
        <w:t>option</w:t>
      </w:r>
      <w:r>
        <w:rPr>
          <w:color w:val="000000" w:themeColor="text1"/>
          <w14:textFill>
            <w14:solidFill>
              <w14:schemeClr w14:val="tx1"/>
            </w14:solidFill>
          </w14:textFill>
        </w:rPr>
        <w:t xml:space="preserve"> 4</w:t>
      </w:r>
      <w:r>
        <w:rPr>
          <w:rFonts w:hint="eastAsia" w:eastAsia="宋体"/>
          <w:color w:val="000000" w:themeColor="text1"/>
          <w14:textFill>
            <w14:solidFill>
              <w14:schemeClr w14:val="tx1"/>
            </w14:solidFill>
          </w14:textFill>
        </w:rPr>
        <w:t>-1</w:t>
      </w:r>
      <w:r>
        <w:rPr>
          <w:color w:val="000000" w:themeColor="text1"/>
          <w14:textFill>
            <w14:solidFill>
              <w14:schemeClr w14:val="tx1"/>
            </w14:solidFill>
          </w14:textFill>
        </w:rPr>
        <w:t xml:space="preserve"> in practice, particularly when weighed against the relatively lower overhead associated with other options.</w:t>
      </w:r>
    </w:p>
    <w:p>
      <w:pPr>
        <w:widowControl w:val="0"/>
        <w:snapToGrid w:val="0"/>
        <w:spacing w:before="72" w:beforeLines="30" w:after="72" w:afterLines="30" w:line="288" w:lineRule="auto"/>
        <w:jc w:val="both"/>
        <w:rPr>
          <w:rFonts w:eastAsiaTheme="minorEastAsia"/>
          <w:i/>
          <w:color w:val="000000" w:themeColor="text1"/>
          <w14:textFill>
            <w14:solidFill>
              <w14:schemeClr w14:val="tx1"/>
            </w14:solidFill>
          </w14:textFill>
        </w:rPr>
      </w:pPr>
      <w:bookmarkStart w:id="3" w:name="_Hlk178349497"/>
      <w:r>
        <w:rPr>
          <w:rFonts w:hint="eastAsia" w:eastAsiaTheme="minorEastAsia"/>
          <w:b/>
          <w:i/>
          <w:color w:val="000000" w:themeColor="text1"/>
          <w14:textFill>
            <w14:solidFill>
              <w14:schemeClr w14:val="tx1"/>
            </w14:solidFill>
          </w14:textFill>
        </w:rPr>
        <w:t>Observation</w:t>
      </w:r>
      <w:r>
        <w:rPr>
          <w:rFonts w:eastAsiaTheme="minorEastAsia"/>
          <w:b/>
          <w:i/>
          <w:color w:val="000000" w:themeColor="text1"/>
          <w14:textFill>
            <w14:solidFill>
              <w14:schemeClr w14:val="tx1"/>
            </w14:solidFill>
          </w14:textFill>
        </w:rPr>
        <w:t xml:space="preserve"> </w:t>
      </w:r>
      <w:r>
        <w:rPr>
          <w:rFonts w:hint="eastAsia" w:eastAsiaTheme="minorEastAsia"/>
          <w:b/>
          <w:i/>
          <w:color w:val="000000" w:themeColor="text1"/>
          <w:lang w:val="en-US" w:eastAsia="zh-CN"/>
          <w14:textFill>
            <w14:solidFill>
              <w14:schemeClr w14:val="tx1"/>
            </w14:solidFill>
          </w14:textFill>
        </w:rPr>
        <w:t>4</w:t>
      </w:r>
      <w:r>
        <w:rPr>
          <w:rFonts w:eastAsiaTheme="minorEastAsia"/>
          <w:b/>
          <w:i/>
          <w:color w:val="000000" w:themeColor="text1"/>
          <w14:textFill>
            <w14:solidFill>
              <w14:schemeClr w14:val="tx1"/>
            </w14:solidFill>
          </w14:textFill>
        </w:rPr>
        <w:t xml:space="preserve">: </w:t>
      </w:r>
      <w:r>
        <w:rPr>
          <w:rFonts w:hint="eastAsia" w:eastAsiaTheme="minorEastAsia"/>
          <w:i/>
          <w:color w:val="000000" w:themeColor="text1"/>
          <w14:textFill>
            <w14:solidFill>
              <w14:schemeClr w14:val="tx1"/>
            </w14:solidFill>
          </w14:textFill>
        </w:rPr>
        <w:t>For Direction A, option 4-1 faces serious overhead concerns, while options 3a-1 incur much lower overhead due to the nature of their parameter exchange mechanisms.</w:t>
      </w:r>
    </w:p>
    <w:bookmarkEnd w:id="3"/>
    <w:p>
      <w:pPr>
        <w:adjustRightInd w:val="0"/>
        <w:snapToGrid w:val="0"/>
        <w:spacing w:before="72" w:beforeLines="30" w:after="72" w:afterLines="30" w:line="288" w:lineRule="auto"/>
        <w:jc w:val="both"/>
        <w:rPr>
          <w:color w:val="000000" w:themeColor="text1"/>
          <w14:textFill>
            <w14:solidFill>
              <w14:schemeClr w14:val="tx1"/>
            </w14:solidFill>
          </w14:textFill>
        </w:rPr>
      </w:pP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4] Performance impact due to data distribution mismatch between NW side and UE side</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As an important impacting factor of data distribution, additional conditions have been defined in Rel-18, which are aspects assumed for model training but not part of UE capability. Generalization evaluations from Rel-18 have demonstrated that some NW-side additional conditions (e.g., </w:t>
      </w:r>
      <w:r>
        <w:rPr>
          <w:color w:val="000000" w:themeColor="text1"/>
          <w14:textFill>
            <w14:solidFill>
              <w14:schemeClr w14:val="tx1"/>
            </w14:solidFill>
          </w14:textFill>
        </w:rPr>
        <w:t>TxRU mappings</w:t>
      </w:r>
      <w:r>
        <w:rPr>
          <w:rFonts w:hint="eastAsia" w:eastAsia="宋体"/>
          <w:color w:val="000000" w:themeColor="text1"/>
          <w14:textFill>
            <w14:solidFill>
              <w14:schemeClr w14:val="tx1"/>
            </w14:solidFill>
          </w14:textFill>
        </w:rPr>
        <w:t xml:space="preserve">, </w:t>
      </w:r>
      <w:r>
        <w:rPr>
          <w:rFonts w:hint="eastAsia" w:eastAsia="宋体"/>
          <w:bCs/>
          <w:color w:val="000000" w:themeColor="text1"/>
          <w14:textFill>
            <w14:solidFill>
              <w14:schemeClr w14:val="tx1"/>
            </w14:solidFill>
          </w14:textFill>
        </w:rPr>
        <w:t>antenna height, antenna down tilt</w:t>
      </w:r>
      <w:r>
        <w:rPr>
          <w:rFonts w:hint="eastAsia"/>
          <w:color w:val="000000" w:themeColor="text1"/>
          <w14:textFill>
            <w14:solidFill>
              <w14:schemeClr w14:val="tx1"/>
            </w14:solidFill>
          </w14:textFill>
        </w:rPr>
        <w:t xml:space="preserve">) and UE-side additional conditions (e.g., </w:t>
      </w:r>
      <w:r>
        <w:rPr>
          <w:color w:val="000000" w:themeColor="text1"/>
          <w14:textFill>
            <w14:solidFill>
              <w14:schemeClr w14:val="tx1"/>
            </w14:solidFill>
          </w14:textFill>
        </w:rPr>
        <w:t>phase normalization</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RF characteristics) may</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have a</w:t>
      </w:r>
      <w:r>
        <w:rPr>
          <w:rFonts w:hint="eastAsia" w:eastAsia="宋体"/>
          <w:color w:val="000000" w:themeColor="text1"/>
          <w14:textFill>
            <w14:solidFill>
              <w14:schemeClr w14:val="tx1"/>
            </w14:solidFill>
          </w14:textFill>
        </w:rPr>
        <w:t xml:space="preserve">n </w:t>
      </w:r>
      <w:r>
        <w:rPr>
          <w:rFonts w:hint="eastAsia"/>
          <w:color w:val="000000" w:themeColor="text1"/>
          <w14:textFill>
            <w14:solidFill>
              <w14:schemeClr w14:val="tx1"/>
            </w14:solidFill>
          </w14:textFill>
        </w:rPr>
        <w:t xml:space="preserve">impact on the CSI compression performance. It should be clear that for the proprietary design of both sides, the underlying NW-side and UE-side additional conditions of the dataset for encoder training at the UE side should be aligned </w:t>
      </w:r>
      <w:r>
        <w:rPr>
          <w:rFonts w:hint="eastAsia" w:eastAsia="宋体"/>
          <w:color w:val="000000" w:themeColor="text1"/>
          <w14:textFill>
            <w14:solidFill>
              <w14:schemeClr w14:val="tx1"/>
            </w14:solidFill>
          </w14:textFill>
        </w:rPr>
        <w:t xml:space="preserve">or similar </w:t>
      </w:r>
      <w:r>
        <w:rPr>
          <w:rFonts w:hint="eastAsia"/>
          <w:color w:val="000000" w:themeColor="text1"/>
          <w14:textFill>
            <w14:solidFill>
              <w14:schemeClr w14:val="tx1"/>
            </w14:solidFill>
          </w14:textFill>
        </w:rPr>
        <w:t xml:space="preserve">with that of the dataset for decoder training at the NW side. Otherwise, unaligned NW-side or UE-side additional conditions across training and inference, or between the NW-side and UE-side </w:t>
      </w:r>
      <w:r>
        <w:rPr>
          <w:rFonts w:hint="eastAsia" w:eastAsia="宋体"/>
          <w:color w:val="000000" w:themeColor="text1"/>
          <w14:textFill>
            <w14:solidFill>
              <w14:schemeClr w14:val="tx1"/>
            </w14:solidFill>
          </w14:textFill>
        </w:rPr>
        <w:t xml:space="preserve">may </w:t>
      </w:r>
      <w:r>
        <w:rPr>
          <w:rFonts w:hint="eastAsia"/>
          <w:color w:val="000000" w:themeColor="text1"/>
          <w14:textFill>
            <w14:solidFill>
              <w14:schemeClr w14:val="tx1"/>
            </w14:solidFill>
          </w14:textFill>
        </w:rPr>
        <w:t xml:space="preserve">result in </w:t>
      </w:r>
      <w:r>
        <w:rPr>
          <w:rFonts w:hint="eastAsia" w:eastAsia="宋体"/>
          <w:color w:val="000000" w:themeColor="text1"/>
          <w14:textFill>
            <w14:solidFill>
              <w14:schemeClr w14:val="tx1"/>
            </w14:solidFill>
          </w14:textFill>
        </w:rPr>
        <w:t xml:space="preserve">potential </w:t>
      </w:r>
      <w:r>
        <w:rPr>
          <w:rFonts w:hint="eastAsia"/>
          <w:color w:val="000000" w:themeColor="text1"/>
          <w14:textFill>
            <w14:solidFill>
              <w14:schemeClr w14:val="tx1"/>
            </w14:solidFill>
          </w14:textFill>
        </w:rPr>
        <w:t xml:space="preserve">performance degradation. </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For the alignment of </w:t>
      </w:r>
      <w:r>
        <w:rPr>
          <w:rFonts w:hint="eastAsia"/>
          <w:color w:val="000000" w:themeColor="text1"/>
          <w14:textFill>
            <w14:solidFill>
              <w14:schemeClr w14:val="tx1"/>
            </w14:solidFill>
          </w14:textFill>
        </w:rPr>
        <w:t>NW-side</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additional conditions, as discussed in other agendas such as AI</w:t>
      </w:r>
      <w:r>
        <w:rPr>
          <w:rFonts w:hint="eastAsia" w:eastAsia="宋体"/>
          <w:color w:val="000000" w:themeColor="text1"/>
          <w14:textFill>
            <w14:solidFill>
              <w14:schemeClr w14:val="tx1"/>
            </w14:solidFill>
          </w14:textFill>
        </w:rPr>
        <w:t>/ML</w:t>
      </w:r>
      <w:r>
        <w:rPr>
          <w:rFonts w:hint="eastAsia"/>
          <w:color w:val="000000" w:themeColor="text1"/>
          <w14:textFill>
            <w14:solidFill>
              <w14:schemeClr w14:val="tx1"/>
            </w14:solidFill>
          </w14:textFill>
        </w:rPr>
        <w:t xml:space="preserve"> beam management, this kind of alignment on additional conditions </w:t>
      </w:r>
      <w:r>
        <w:rPr>
          <w:rFonts w:hint="eastAsia" w:eastAsia="宋体"/>
          <w:color w:val="000000" w:themeColor="text1"/>
          <w14:textFill>
            <w14:solidFill>
              <w14:schemeClr w14:val="tx1"/>
            </w14:solidFill>
          </w14:textFill>
        </w:rPr>
        <w:t xml:space="preserve">may </w:t>
      </w:r>
      <w:r>
        <w:rPr>
          <w:rFonts w:hint="eastAsia"/>
          <w:color w:val="000000" w:themeColor="text1"/>
          <w14:textFill>
            <w14:solidFill>
              <w14:schemeClr w14:val="tx1"/>
            </w14:solidFill>
          </w14:textFill>
        </w:rPr>
        <w:t xml:space="preserve">be achieved by associated ID </w:t>
      </w:r>
      <w:r>
        <w:rPr>
          <w:rFonts w:hint="eastAsia" w:eastAsia="宋体"/>
          <w:color w:val="000000" w:themeColor="text1"/>
          <w14:textFill>
            <w14:solidFill>
              <w14:schemeClr w14:val="tx1"/>
            </w14:solidFill>
          </w14:textFill>
        </w:rPr>
        <w:t>indication</w:t>
      </w:r>
      <w:r>
        <w:rPr>
          <w:rFonts w:hint="eastAsia"/>
          <w:color w:val="000000" w:themeColor="text1"/>
          <w14:textFill>
            <w14:solidFill>
              <w14:schemeClr w14:val="tx1"/>
            </w14:solidFill>
          </w14:textFill>
        </w:rPr>
        <w:t xml:space="preserve">, which is used for data categorization to ensure consistency of both sides. </w:t>
      </w:r>
      <w:r>
        <w:rPr>
          <w:rFonts w:hint="eastAsia" w:eastAsia="宋体"/>
          <w:color w:val="000000" w:themeColor="text1"/>
          <w14:textFill>
            <w14:solidFill>
              <w14:schemeClr w14:val="tx1"/>
            </w14:solidFill>
          </w14:textFill>
        </w:rPr>
        <w:t>For the alignment of UE</w:t>
      </w:r>
      <w:r>
        <w:rPr>
          <w:rFonts w:hint="eastAsia"/>
          <w:color w:val="000000" w:themeColor="text1"/>
          <w14:textFill>
            <w14:solidFill>
              <w14:schemeClr w14:val="tx1"/>
            </w14:solidFill>
          </w14:textFill>
        </w:rPr>
        <w:t>-side</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additional conditions, </w:t>
      </w:r>
      <w:r>
        <w:rPr>
          <w:rFonts w:hint="eastAsia" w:eastAsia="宋体"/>
          <w:color w:val="000000" w:themeColor="text1"/>
          <w14:textFill>
            <w14:solidFill>
              <w14:schemeClr w14:val="tx1"/>
            </w14:solidFill>
          </w14:textFill>
        </w:rPr>
        <w:t xml:space="preserve">according to our preliminary simulations, if the </w:t>
      </w:r>
      <w:r>
        <w:rPr>
          <w:color w:val="000000" w:themeColor="text1"/>
          <w14:textFill>
            <w14:solidFill>
              <w14:schemeClr w14:val="tx1"/>
            </w14:solidFill>
          </w14:textFill>
        </w:rPr>
        <w:t xml:space="preserve">NW side </w:t>
      </w:r>
      <w:r>
        <w:rPr>
          <w:rFonts w:hint="eastAsia" w:eastAsia="宋体"/>
          <w:color w:val="000000" w:themeColor="text1"/>
          <w14:textFill>
            <w14:solidFill>
              <w14:schemeClr w14:val="tx1"/>
            </w14:solidFill>
          </w14:textFill>
        </w:rPr>
        <w:t xml:space="preserve">is able to </w:t>
      </w:r>
      <w:r>
        <w:rPr>
          <w:color w:val="000000" w:themeColor="text1"/>
          <w14:textFill>
            <w14:solidFill>
              <w14:schemeClr w14:val="tx1"/>
            </w14:solidFill>
          </w14:textFill>
        </w:rPr>
        <w:t xml:space="preserve">timely </w:t>
      </w:r>
      <w:r>
        <w:rPr>
          <w:rFonts w:hint="eastAsia" w:eastAsia="宋体"/>
          <w:color w:val="000000" w:themeColor="text1"/>
          <w14:textFill>
            <w14:solidFill>
              <w14:schemeClr w14:val="tx1"/>
            </w14:solidFill>
          </w14:textFill>
        </w:rPr>
        <w:t xml:space="preserve">collect data from different UEs and train/update the CSI compression model with mixed dataset, the data distribution mismatch with respect to UE-side additional condition only causes marginal performance loss. </w:t>
      </w:r>
      <w:r>
        <w:rPr>
          <w:rFonts w:hint="eastAsia"/>
          <w:color w:val="000000" w:themeColor="text1"/>
          <w14:textFill>
            <w14:solidFill>
              <w14:schemeClr w14:val="tx1"/>
            </w14:solidFill>
          </w14:textFill>
        </w:rPr>
        <w:t xml:space="preserve">Therefore, for inter-vendor training collaboration </w:t>
      </w:r>
      <w:r>
        <w:rPr>
          <w:rFonts w:hint="eastAsia" w:eastAsia="宋体"/>
          <w:color w:val="000000" w:themeColor="text1"/>
          <w14:textFill>
            <w14:solidFill>
              <w14:schemeClr w14:val="tx1"/>
            </w14:solidFill>
          </w14:textFill>
        </w:rPr>
        <w:t>option</w:t>
      </w:r>
      <w:r>
        <w:rPr>
          <w:rFonts w:hint="eastAsia"/>
          <w:color w:val="000000" w:themeColor="text1"/>
          <w14:textFill>
            <w14:solidFill>
              <w14:schemeClr w14:val="tx1"/>
            </w14:solidFill>
          </w14:textFill>
        </w:rPr>
        <w:t>s 3a</w:t>
      </w:r>
      <w:r>
        <w:rPr>
          <w:rFonts w:hint="eastAsia" w:eastAsia="宋体"/>
          <w:color w:val="000000" w:themeColor="text1"/>
          <w14:textFill>
            <w14:solidFill>
              <w14:schemeClr w14:val="tx1"/>
            </w14:solidFill>
          </w14:textFill>
        </w:rPr>
        <w:t xml:space="preserve">-1 and </w:t>
      </w:r>
      <w:r>
        <w:rPr>
          <w:rFonts w:hint="eastAsia"/>
          <w:color w:val="000000" w:themeColor="text1"/>
          <w14:textFill>
            <w14:solidFill>
              <w14:schemeClr w14:val="tx1"/>
            </w14:solidFill>
          </w14:textFill>
        </w:rPr>
        <w:t>4</w:t>
      </w:r>
      <w:r>
        <w:rPr>
          <w:rFonts w:hint="eastAsia" w:eastAsia="宋体"/>
          <w:color w:val="000000" w:themeColor="text1"/>
          <w14:textFill>
            <w14:solidFill>
              <w14:schemeClr w14:val="tx1"/>
            </w14:solidFill>
          </w14:textFill>
        </w:rPr>
        <w:t>-1</w:t>
      </w:r>
      <w:r>
        <w:rPr>
          <w:rFonts w:hint="eastAsia"/>
          <w:color w:val="000000" w:themeColor="text1"/>
          <w14:textFill>
            <w14:solidFill>
              <w14:schemeClr w14:val="tx1"/>
            </w14:solidFill>
          </w14:textFill>
        </w:rPr>
        <w:t xml:space="preserve">, if the NW-side and UE-side additional conditions used for </w:t>
      </w:r>
      <w:r>
        <w:rPr>
          <w:rFonts w:hint="eastAsia" w:eastAsia="宋体"/>
          <w:color w:val="000000" w:themeColor="text1"/>
          <w14:textFill>
            <w14:solidFill>
              <w14:schemeClr w14:val="tx1"/>
            </w14:solidFill>
          </w14:textFill>
        </w:rPr>
        <w:t>model</w:t>
      </w:r>
      <w:r>
        <w:rPr>
          <w:rFonts w:hint="eastAsia"/>
          <w:color w:val="000000" w:themeColor="text1"/>
          <w14:textFill>
            <w14:solidFill>
              <w14:schemeClr w14:val="tx1"/>
            </w14:solidFill>
          </w14:textFill>
        </w:rPr>
        <w:t xml:space="preserve"> training can be communicated to the counterpart in advance, e.g., in the form of associated ID or </w:t>
      </w:r>
      <w:r>
        <w:rPr>
          <w:rFonts w:hint="eastAsia" w:eastAsia="宋体"/>
          <w:color w:val="000000" w:themeColor="text1"/>
          <w14:textFill>
            <w14:solidFill>
              <w14:schemeClr w14:val="tx1"/>
            </w14:solidFill>
          </w14:textFill>
        </w:rPr>
        <w:t>by timely data collection</w:t>
      </w:r>
      <w:r>
        <w:rPr>
          <w:rFonts w:hint="eastAsia"/>
          <w:color w:val="000000" w:themeColor="text1"/>
          <w14:textFill>
            <w14:solidFill>
              <w14:schemeClr w14:val="tx1"/>
            </w14:solidFill>
          </w14:textFill>
        </w:rPr>
        <w:t xml:space="preserve">, it can be assumed that the NW-side data distribution and UE-side data distribution </w:t>
      </w:r>
      <w:r>
        <w:rPr>
          <w:rFonts w:hint="eastAsia" w:eastAsia="宋体"/>
          <w:color w:val="000000" w:themeColor="text1"/>
          <w14:textFill>
            <w14:solidFill>
              <w14:schemeClr w14:val="tx1"/>
            </w14:solidFill>
          </w14:textFill>
        </w:rPr>
        <w:t xml:space="preserve">can be </w:t>
      </w:r>
      <w:r>
        <w:rPr>
          <w:rFonts w:hint="eastAsia"/>
          <w:color w:val="000000" w:themeColor="text1"/>
          <w14:textFill>
            <w14:solidFill>
              <w14:schemeClr w14:val="tx1"/>
            </w14:solidFill>
          </w14:textFill>
        </w:rPr>
        <w:t>matched. Consequently, this approach precludes any foreseen data distribution mismatch, thereby upholding the performance integrity of the AI/ML-based CSI compression models across different vendor implementations.</w:t>
      </w:r>
    </w:p>
    <w:p>
      <w:pPr>
        <w:pStyle w:val="147"/>
        <w:snapToGrid w:val="0"/>
        <w:spacing w:before="72" w:after="72"/>
        <w:jc w:val="both"/>
        <w:rPr>
          <w:b w:val="0"/>
          <w:color w:val="000000" w:themeColor="text1"/>
          <w:szCs w:val="20"/>
          <w:lang w:val="en-US"/>
          <w14:textFill>
            <w14:solidFill>
              <w14:schemeClr w14:val="tx1"/>
            </w14:solidFill>
          </w14:textFill>
        </w:rPr>
      </w:pPr>
      <w:bookmarkStart w:id="4" w:name="_Hlk178349514"/>
      <w:r>
        <w:rPr>
          <w:rFonts w:hint="eastAsia"/>
          <w:b w:val="0"/>
          <w:color w:val="000000" w:themeColor="text1"/>
          <w:szCs w:val="20"/>
          <w:lang w:val="en-US"/>
          <w14:textFill>
            <w14:solidFill>
              <w14:schemeClr w14:val="tx1"/>
            </w14:solidFill>
          </w14:textFill>
        </w:rPr>
        <w:t>For data distribution mismatch with respect to NW-side additional conditions for Direction A, it can be resolved by the indication of associated ID which implicitly abstracts the NW-side additional conditions.</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data distribution mismatch with respect to UE-side additional conditions for Direction A, it can be resolved by NW side timely data collection and subsequent update of delivered dataset/parameter to the UE side.</w:t>
      </w:r>
    </w:p>
    <w:bookmarkEnd w:id="4"/>
    <w:p>
      <w:pPr>
        <w:adjustRightInd w:val="0"/>
        <w:snapToGrid w:val="0"/>
        <w:spacing w:before="72" w:beforeLines="30" w:after="72" w:afterLines="30" w:line="288" w:lineRule="auto"/>
        <w:jc w:val="both"/>
        <w:rPr>
          <w:color w:val="000000" w:themeColor="text1"/>
          <w14:textFill>
            <w14:solidFill>
              <w14:schemeClr w14:val="tx1"/>
            </w14:solidFill>
          </w14:textFill>
        </w:rPr>
      </w:pPr>
    </w:p>
    <w:p>
      <w:pPr>
        <w:numPr>
          <w:ilvl w:val="2"/>
          <w:numId w:val="10"/>
        </w:numPr>
        <w:adjustRightInd w:val="0"/>
        <w:snapToGrid w:val="0"/>
        <w:spacing w:before="72" w:beforeLines="30" w:after="72" w:afterLines="30" w:line="288" w:lineRule="auto"/>
        <w:jc w:val="both"/>
        <w:outlineLvl w:val="2"/>
        <w:rPr>
          <w:rFonts w:eastAsia="宋体"/>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Direction B with on-device operation</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Regarding </w:t>
      </w:r>
      <w:r>
        <w:rPr>
          <w:rFonts w:hint="eastAsia" w:eastAsia="宋体"/>
          <w:color w:val="000000" w:themeColor="text1"/>
          <w14:textFill>
            <w14:solidFill>
              <w14:schemeClr w14:val="tx1"/>
            </w14:solidFill>
          </w14:textFill>
        </w:rPr>
        <w:t>Direction B</w:t>
      </w:r>
      <w:r>
        <w:rPr>
          <w:rFonts w:hint="eastAsia"/>
          <w:color w:val="000000" w:themeColor="text1"/>
          <w14:textFill>
            <w14:solidFill>
              <w14:schemeClr w14:val="tx1"/>
            </w14:solidFill>
          </w14:textFill>
        </w:rPr>
        <w:t xml:space="preserve"> (i.e., inter vendor collaboration option 3b), the </w:t>
      </w:r>
      <w:r>
        <w:rPr>
          <w:color w:val="000000" w:themeColor="text1"/>
          <w:lang w:eastAsia="en-US"/>
          <w14:textFill>
            <w14:solidFill>
              <w14:schemeClr w14:val="tx1"/>
            </w14:solidFill>
          </w14:textFill>
        </w:rPr>
        <w:t>parameters</w:t>
      </w:r>
      <w:r>
        <w:rPr>
          <w:rFonts w:hint="eastAsia"/>
          <w:color w:val="000000" w:themeColor="text1"/>
          <w14:textFill>
            <w14:solidFill>
              <w14:schemeClr w14:val="tx1"/>
            </w14:solidFill>
          </w14:textFill>
        </w:rPr>
        <w:t xml:space="preserve"> of the encoder are exchanged from the NW side to UE side via over the air-interface signaling, which are then directly used for inference at the UE without offline engineering, potentially with one-device operations. Compared with </w:t>
      </w:r>
      <w:r>
        <w:rPr>
          <w:rFonts w:hint="eastAsia" w:eastAsia="宋体"/>
          <w:color w:val="000000" w:themeColor="text1"/>
          <w14:textFill>
            <w14:solidFill>
              <w14:schemeClr w14:val="tx1"/>
            </w14:solidFill>
          </w14:textFill>
        </w:rPr>
        <w:t>Direction A</w:t>
      </w:r>
      <w:r>
        <w:rPr>
          <w:rFonts w:hint="eastAsia"/>
          <w:color w:val="000000" w:themeColor="text1"/>
          <w14:textFill>
            <w14:solidFill>
              <w14:schemeClr w14:val="tx1"/>
            </w14:solidFill>
          </w14:textFill>
        </w:rPr>
        <w:t xml:space="preserve"> with UE-side offline engineering, </w:t>
      </w:r>
      <w:r>
        <w:rPr>
          <w:rFonts w:hint="eastAsia" w:eastAsia="宋体"/>
          <w:color w:val="000000" w:themeColor="text1"/>
          <w14:textFill>
            <w14:solidFill>
              <w14:schemeClr w14:val="tx1"/>
            </w14:solidFill>
          </w14:textFill>
        </w:rPr>
        <w:t>Direction B</w:t>
      </w:r>
      <w:r>
        <w:rPr>
          <w:rFonts w:hint="eastAsia"/>
          <w:color w:val="000000" w:themeColor="text1"/>
          <w14:textFill>
            <w14:solidFill>
              <w14:schemeClr w14:val="tx1"/>
            </w14:solidFill>
          </w14:textFill>
        </w:rPr>
        <w:t xml:space="preserve"> serves shorter deployment time scales and device-specific engineering work is saved. However, the following feasibility issues are identified </w:t>
      </w:r>
      <w:r>
        <w:rPr>
          <w:rFonts w:hint="eastAsia" w:eastAsia="宋体"/>
          <w:color w:val="000000" w:themeColor="text1"/>
          <w14:textFill>
            <w14:solidFill>
              <w14:schemeClr w14:val="tx1"/>
            </w14:solidFill>
          </w14:textFill>
        </w:rPr>
        <w:t xml:space="preserve">and discussed </w:t>
      </w:r>
      <w:r>
        <w:rPr>
          <w:rFonts w:hint="eastAsia"/>
          <w:color w:val="000000" w:themeColor="text1"/>
          <w14:textFill>
            <w14:solidFill>
              <w14:schemeClr w14:val="tx1"/>
            </w14:solidFill>
          </w14:textFill>
        </w:rPr>
        <w:t>by companies in RAN1#118</w:t>
      </w:r>
      <w:r>
        <w:rPr>
          <w:rFonts w:hint="eastAsia" w:eastAsia="宋体"/>
          <w:color w:val="000000" w:themeColor="text1"/>
          <w14:textFill>
            <w14:solidFill>
              <w14:schemeClr w14:val="tx1"/>
            </w14:solidFill>
          </w14:textFill>
        </w:rPr>
        <w:t>b</w:t>
      </w:r>
      <w:r>
        <w:rPr>
          <w:rFonts w:hint="eastAsia"/>
          <w:color w:val="000000" w:themeColor="text1"/>
          <w14:textFill>
            <w14:solidFill>
              <w14:schemeClr w14:val="tx1"/>
            </w14:solidFill>
          </w14:textFill>
        </w:rPr>
        <w:t xml:space="preserve"> meeting.</w:t>
      </w: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3] Overhead for parameter/dataset/model exchange</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In RAN1#118b meeting, the following agreement was reached to clarify the impacting factors of overhead issues.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000000" w:themeColor="text1"/>
                <w:u w:val="single"/>
                <w14:textFill>
                  <w14:solidFill>
                    <w14:schemeClr w14:val="tx1"/>
                  </w14:solidFill>
                </w14:textFill>
              </w:rPr>
            </w:pPr>
            <w:r>
              <w:rPr>
                <w:rFonts w:hint="eastAsia" w:eastAsia="等线"/>
                <w:b/>
                <w:color w:val="000000" w:themeColor="text1"/>
                <w:u w:val="single"/>
                <w14:textFill>
                  <w14:solidFill>
                    <w14:schemeClr w14:val="tx1"/>
                  </w14:solidFill>
                </w14:textFill>
              </w:rPr>
              <w:t>Agreement</w:t>
            </w:r>
          </w:p>
          <w:p>
            <w:pPr>
              <w:snapToGrid w:val="0"/>
              <w:spacing w:before="72" w:beforeLines="30" w:after="72" w:afterLines="30" w:line="288" w:lineRule="auto"/>
              <w:rPr>
                <w:color w:val="000000" w:themeColor="text1"/>
                <w14:textFill>
                  <w14:solidFill>
                    <w14:schemeClr w14:val="tx1"/>
                  </w14:solidFill>
                </w14:textFill>
              </w:rPr>
            </w:pPr>
            <w:r>
              <w:rPr>
                <w:color w:val="000000" w:themeColor="text1"/>
                <w14:textFill>
                  <w14:solidFill>
                    <w14:schemeClr w14:val="tx1"/>
                  </w14:solidFill>
                </w14:textFill>
              </w:rPr>
              <w:t xml:space="preserve">For issues listed for inter-vendor collaboration </w:t>
            </w:r>
            <w:r>
              <w:rPr>
                <w:rFonts w:hint="eastAsia" w:eastAsia="宋体"/>
                <w:color w:val="000000" w:themeColor="text1"/>
                <w14:textFill>
                  <w14:solidFill>
                    <w14:schemeClr w14:val="tx1"/>
                  </w14:solidFill>
                </w14:textFill>
              </w:rPr>
              <w:t>Direction B</w:t>
            </w:r>
            <w:r>
              <w:rPr>
                <w:color w:val="000000" w:themeColor="text1"/>
                <w14:textFill>
                  <w14:solidFill>
                    <w14:schemeClr w14:val="tx1"/>
                  </w14:solidFill>
                </w14:textFill>
              </w:rPr>
              <w:t xml:space="preserve">, </w:t>
            </w:r>
            <w:r>
              <w:rPr>
                <w:rFonts w:hint="eastAsia" w:eastAsia="等线"/>
                <w:color w:val="000000" w:themeColor="text1"/>
                <w14:textFill>
                  <w14:solidFill>
                    <w14:schemeClr w14:val="tx1"/>
                  </w14:solidFill>
                </w14:textFill>
              </w:rPr>
              <w:t>f</w:t>
            </w:r>
            <w:r>
              <w:rPr>
                <w:color w:val="000000" w:themeColor="text1"/>
                <w:lang w:eastAsia="ko-KR"/>
                <w14:textFill>
                  <w14:solidFill>
                    <w14:schemeClr w14:val="tx1"/>
                  </w14:solidFill>
                </w14:textFill>
              </w:rPr>
              <w:t xml:space="preserve">urther study the overhead in </w:t>
            </w:r>
            <w:r>
              <w:rPr>
                <w:rFonts w:hint="eastAsia" w:eastAsia="宋体"/>
                <w:color w:val="000000" w:themeColor="text1"/>
                <w14:textFill>
                  <w14:solidFill>
                    <w14:schemeClr w14:val="tx1"/>
                  </w14:solidFill>
                </w14:textFill>
              </w:rPr>
              <w:t>Direction B</w:t>
            </w:r>
            <w:r>
              <w:rPr>
                <w:color w:val="000000" w:themeColor="text1"/>
                <w:lang w:eastAsia="ko-KR"/>
                <w14:textFill>
                  <w14:solidFill>
                    <w14:schemeClr w14:val="tx1"/>
                  </w14:solidFill>
                </w14:textFill>
              </w:rPr>
              <w:t xml:space="preserve"> based on the size of the encoder (i.e., number of parameters and quantization level), the number of encoders, and how often the parameters need to be transferred.</w:t>
            </w:r>
          </w:p>
        </w:tc>
      </w:tr>
    </w:tbl>
    <w:p>
      <w:pPr>
        <w:adjustRightInd w:val="0"/>
        <w:snapToGrid w:val="0"/>
        <w:spacing w:before="72" w:beforeLines="30" w:after="72" w:afterLines="30" w:line="288" w:lineRule="auto"/>
        <w:jc w:val="both"/>
        <w:rPr>
          <w:rFonts w:eastAsia="宋体"/>
          <w:color w:val="000000" w:themeColor="text1"/>
          <w14:textFill>
            <w14:solidFill>
              <w14:schemeClr w14:val="tx1"/>
            </w14:solidFill>
          </w14:textFill>
        </w:rPr>
      </w:pPr>
      <w:r>
        <w:rPr>
          <w:color w:val="000000" w:themeColor="text1"/>
          <w14:textFill>
            <w14:solidFill>
              <w14:schemeClr w14:val="tx1"/>
            </w14:solidFill>
          </w14:textFill>
        </w:rPr>
        <w:t xml:space="preserve">For </w:t>
      </w:r>
      <w:r>
        <w:rPr>
          <w:rFonts w:hint="eastAsia"/>
          <w:color w:val="000000" w:themeColor="text1"/>
          <w14:textFill>
            <w14:solidFill>
              <w14:schemeClr w14:val="tx1"/>
            </w14:solidFill>
          </w14:textFill>
        </w:rPr>
        <w:t>o</w:t>
      </w:r>
      <w:r>
        <w:rPr>
          <w:color w:val="000000" w:themeColor="text1"/>
          <w14:textFill>
            <w14:solidFill>
              <w14:schemeClr w14:val="tx1"/>
            </w14:solidFill>
          </w14:textFill>
        </w:rPr>
        <w:t xml:space="preserve">ption 3b, the exchange of parameters from the NW-side to the UE-side is confined to the encoder component. According to the evaluations conducted in Release 18, the </w:t>
      </w:r>
      <w:r>
        <w:rPr>
          <w:rFonts w:hint="eastAsia" w:eastAsia="宋体"/>
          <w:color w:val="000000" w:themeColor="text1"/>
          <w14:textFill>
            <w14:solidFill>
              <w14:schemeClr w14:val="tx1"/>
            </w14:solidFill>
          </w14:textFill>
        </w:rPr>
        <w:t>number of parameters</w:t>
      </w:r>
      <w:r>
        <w:rPr>
          <w:color w:val="000000" w:themeColor="text1"/>
          <w14:textFill>
            <w14:solidFill>
              <w14:schemeClr w14:val="tx1"/>
            </w14:solidFill>
          </w14:textFill>
        </w:rPr>
        <w:t xml:space="preserve"> associated with such parameter exchanges is estimated to range between 1 million to 13 million</w:t>
      </w:r>
      <w:r>
        <w:rPr>
          <w:rFonts w:hint="eastAsia" w:eastAsia="宋体"/>
          <w:color w:val="000000" w:themeColor="text1"/>
          <w14:textFill>
            <w14:solidFill>
              <w14:schemeClr w14:val="tx1"/>
            </w14:solidFill>
          </w14:textFill>
        </w:rPr>
        <w:t xml:space="preserve">, which makes it an attraction option in comparison to the dataset transfer related options from overhead consumption perspective. Additionally, considering the doubtful feasibility of inter-cell/vendors collaboration about the encoder/parameter details, we can assume cell-specific encoder training and delivery for Direction B. In this case, the update of encoder and the transferring of parameters are not expected to be occurred frequently due to the relatively stable communication environment and NW-side software/hardware implementations within a cell. For other impacting factors of overhead issues, </w:t>
      </w:r>
      <w:r>
        <w:rPr>
          <w:color w:val="000000" w:themeColor="text1"/>
          <w14:textFill>
            <w14:solidFill>
              <w14:schemeClr w14:val="tx1"/>
            </w14:solidFill>
          </w14:textFill>
        </w:rPr>
        <w:t>such as data pre-processing and quantization</w:t>
      </w:r>
      <w:r>
        <w:rPr>
          <w:rFonts w:hint="eastAsia" w:eastAsia="宋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they may be </w:t>
      </w:r>
      <w:r>
        <w:rPr>
          <w:color w:val="000000" w:themeColor="text1"/>
          <w14:textFill>
            <w14:solidFill>
              <w14:schemeClr w14:val="tx1"/>
            </w14:solidFill>
          </w14:textFill>
        </w:rPr>
        <w:t xml:space="preserve">crucial to ensure that the parameters are compatible and can be effectively utilized by the UE upon receipt. </w:t>
      </w:r>
      <w:r>
        <w:rPr>
          <w:rFonts w:hint="eastAsia" w:eastAsia="宋体"/>
          <w:color w:val="000000" w:themeColor="text1"/>
          <w14:textFill>
            <w14:solidFill>
              <w14:schemeClr w14:val="tx1"/>
            </w14:solidFill>
          </w14:textFill>
        </w:rPr>
        <w:t xml:space="preserve">However, the overhead brought by data </w:t>
      </w:r>
      <w:r>
        <w:rPr>
          <w:color w:val="000000" w:themeColor="text1"/>
          <w14:textFill>
            <w14:solidFill>
              <w14:schemeClr w14:val="tx1"/>
            </w14:solidFill>
          </w14:textFill>
        </w:rPr>
        <w:t>pre-processing</w:t>
      </w:r>
      <w:r>
        <w:rPr>
          <w:rFonts w:hint="eastAsia" w:eastAsia="宋体"/>
          <w:color w:val="000000" w:themeColor="text1"/>
          <w14:textFill>
            <w14:solidFill>
              <w14:schemeClr w14:val="tx1"/>
            </w14:solidFill>
          </w14:textFill>
        </w:rPr>
        <w:t xml:space="preserve"> or quantization alignment is apparently </w:t>
      </w:r>
      <w:r>
        <w:rPr>
          <w:color w:val="000000" w:themeColor="text1"/>
          <w14:textFill>
            <w14:solidFill>
              <w14:schemeClr w14:val="tx1"/>
            </w14:solidFill>
          </w14:textFill>
        </w:rPr>
        <w:t>within acceptable limits</w:t>
      </w:r>
      <w:r>
        <w:rPr>
          <w:rFonts w:hint="eastAsia" w:eastAsia="宋体"/>
          <w:color w:val="000000" w:themeColor="text1"/>
          <w14:textFill>
            <w14:solidFill>
              <w14:schemeClr w14:val="tx1"/>
            </w14:solidFill>
          </w14:textFill>
        </w:rPr>
        <w:t xml:space="preserve"> and would not contribute much to the overall overhead. Therefore, we conclude that from overhead consumption perspective, </w:t>
      </w:r>
      <w:r>
        <w:rPr>
          <w:rFonts w:hint="eastAsia"/>
          <w:color w:val="000000" w:themeColor="text1"/>
          <w14:textFill>
            <w14:solidFill>
              <w14:schemeClr w14:val="tx1"/>
            </w14:solidFill>
          </w14:textFill>
        </w:rPr>
        <w:t>o</w:t>
      </w:r>
      <w:r>
        <w:rPr>
          <w:color w:val="000000" w:themeColor="text1"/>
          <w14:textFill>
            <w14:solidFill>
              <w14:schemeClr w14:val="tx1"/>
            </w14:solidFill>
          </w14:textFill>
        </w:rPr>
        <w:t xml:space="preserve">ption 3b </w:t>
      </w:r>
      <w:r>
        <w:rPr>
          <w:rFonts w:hint="eastAsia" w:eastAsia="宋体"/>
          <w:color w:val="000000" w:themeColor="text1"/>
          <w14:textFill>
            <w14:solidFill>
              <w14:schemeClr w14:val="tx1"/>
            </w14:solidFill>
          </w14:textFill>
        </w:rPr>
        <w:t>may be a</w:t>
      </w:r>
      <w:r>
        <w:rPr>
          <w:color w:val="000000" w:themeColor="text1"/>
          <w14:textFill>
            <w14:solidFill>
              <w14:schemeClr w14:val="tx1"/>
            </w14:solidFill>
          </w14:textFill>
        </w:rPr>
        <w:t xml:space="preserve"> viable approach for inter-vendor training collaboration in the context of AI/ML-based CSI compression</w:t>
      </w:r>
      <w:r>
        <w:rPr>
          <w:rFonts w:hint="eastAsia" w:eastAsia="宋体"/>
          <w:color w:val="000000" w:themeColor="text1"/>
          <w14:textFill>
            <w14:solidFill>
              <w14:schemeClr w14:val="tx1"/>
            </w14:solidFill>
          </w14:textFill>
        </w:rPr>
        <w:t>.</w:t>
      </w:r>
    </w:p>
    <w:p>
      <w:pPr>
        <w:pStyle w:val="147"/>
        <w:snapToGrid w:val="0"/>
        <w:spacing w:before="72" w:after="72"/>
        <w:jc w:val="both"/>
        <w:rPr>
          <w:b w:val="0"/>
          <w:color w:val="000000" w:themeColor="text1"/>
          <w:szCs w:val="20"/>
          <w:lang w:val="en-US"/>
          <w14:textFill>
            <w14:solidFill>
              <w14:schemeClr w14:val="tx1"/>
            </w14:solidFill>
          </w14:textFill>
        </w:rPr>
      </w:pPr>
      <w:bookmarkStart w:id="5" w:name="_Hlk178349525"/>
      <w:r>
        <w:rPr>
          <w:rFonts w:hint="eastAsia"/>
          <w:b w:val="0"/>
          <w:color w:val="000000" w:themeColor="text1"/>
          <w:szCs w:val="20"/>
          <w:lang w:val="en-US"/>
          <w14:textFill>
            <w14:solidFill>
              <w14:schemeClr w14:val="tx1"/>
            </w14:solidFill>
          </w14:textFill>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bookmarkEnd w:id="5"/>
    <w:p>
      <w:pPr>
        <w:adjustRightInd w:val="0"/>
        <w:snapToGrid w:val="0"/>
        <w:spacing w:before="72" w:beforeLines="30" w:after="72" w:afterLines="30" w:line="288" w:lineRule="auto"/>
        <w:jc w:val="both"/>
        <w:rPr>
          <w:color w:val="000000" w:themeColor="text1"/>
          <w14:textFill>
            <w14:solidFill>
              <w14:schemeClr w14:val="tx1"/>
            </w14:solidFill>
          </w14:textFill>
        </w:rPr>
      </w:pP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5] Feasibility of general or UE-specific encoder design</w:t>
      </w:r>
    </w:p>
    <w:p>
      <w:pPr>
        <w:adjustRightInd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There is an inherent diversity among different UE</w:t>
      </w:r>
      <w:r>
        <w:rPr>
          <w:rFonts w:hint="eastAsia" w:eastAsia="宋体"/>
          <w:color w:val="000000" w:themeColor="text1"/>
          <w14:textFill>
            <w14:solidFill>
              <w14:schemeClr w14:val="tx1"/>
            </w14:solidFill>
          </w14:textFill>
        </w:rPr>
        <w:t>s</w:t>
      </w:r>
      <w:r>
        <w:rPr>
          <w:rFonts w:hint="eastAsia"/>
          <w:color w:val="000000" w:themeColor="text1"/>
          <w14:textFill>
            <w14:solidFill>
              <w14:schemeClr w14:val="tx1"/>
            </w14:solidFill>
          </w14:textFill>
        </w:rPr>
        <w:t xml:space="preserve"> or chipset vendors in terms of model structure preferences, data pre-processing requirements, hardware capabilities, power constraints, and quantization methodologies. Unless these UE-specific encoder design preferences are explicitly or implicitly communicated to the </w:t>
      </w:r>
      <w:r>
        <w:rPr>
          <w:rFonts w:hint="eastAsia" w:eastAsia="宋体"/>
          <w:color w:val="000000" w:themeColor="text1"/>
          <w14:textFill>
            <w14:solidFill>
              <w14:schemeClr w14:val="tx1"/>
            </w14:solidFill>
          </w14:textFill>
        </w:rPr>
        <w:t xml:space="preserve">NW </w:t>
      </w:r>
      <w:r>
        <w:rPr>
          <w:rFonts w:hint="eastAsia"/>
          <w:color w:val="000000" w:themeColor="text1"/>
          <w14:textFill>
            <w14:solidFill>
              <w14:schemeClr w14:val="tx1"/>
            </w14:solidFill>
          </w14:textFill>
        </w:rPr>
        <w:t>side, it becomes impractical for the network to train multiple encoders tailored to individual UEs due to potential risks of disclosing proprietary information. Conversely, if these UE-specific encoder</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preferences are </w:t>
      </w:r>
      <w:r>
        <w:rPr>
          <w:rFonts w:hint="eastAsia" w:eastAsia="宋体"/>
          <w:color w:val="000000" w:themeColor="text1"/>
          <w14:textFill>
            <w14:solidFill>
              <w14:schemeClr w14:val="tx1"/>
            </w14:solidFill>
          </w14:textFill>
        </w:rPr>
        <w:t xml:space="preserve">able to be </w:t>
      </w:r>
      <w:r>
        <w:rPr>
          <w:rFonts w:hint="eastAsia"/>
          <w:color w:val="000000" w:themeColor="text1"/>
          <w14:textFill>
            <w14:solidFill>
              <w14:schemeClr w14:val="tx1"/>
            </w14:solidFill>
          </w14:textFill>
        </w:rPr>
        <w:t>disclosed</w:t>
      </w:r>
      <w:r>
        <w:rPr>
          <w:rFonts w:hint="eastAsia" w:eastAsia="宋体"/>
          <w:color w:val="000000" w:themeColor="text1"/>
          <w14:textFill>
            <w14:solidFill>
              <w14:schemeClr w14:val="tx1"/>
            </w14:solidFill>
          </w14:textFill>
        </w:rPr>
        <w:t xml:space="preserve"> to the NW side</w:t>
      </w:r>
      <w:r>
        <w:rPr>
          <w:rFonts w:hint="eastAsia"/>
          <w:color w:val="000000" w:themeColor="text1"/>
          <w14:textFill>
            <w14:solidFill>
              <w14:schemeClr w14:val="tx1"/>
            </w14:solidFill>
          </w14:textFill>
        </w:rPr>
        <w:t xml:space="preserve">, significant standardization or offline </w:t>
      </w:r>
      <w:r>
        <w:rPr>
          <w:rFonts w:hint="eastAsia" w:eastAsia="宋体"/>
          <w:color w:val="000000" w:themeColor="text1"/>
          <w14:textFill>
            <w14:solidFill>
              <w14:schemeClr w14:val="tx1"/>
            </w14:solidFill>
          </w14:textFill>
        </w:rPr>
        <w:t>collaboration</w:t>
      </w:r>
      <w:r>
        <w:rPr>
          <w:rFonts w:hint="eastAsia"/>
          <w:color w:val="000000" w:themeColor="text1"/>
          <w14:textFill>
            <w14:solidFill>
              <w14:schemeClr w14:val="tx1"/>
            </w14:solidFill>
          </w14:textFill>
        </w:rPr>
        <w:t xml:space="preserve"> efforts will be required to align on the UE preferences. On the other hand, adopting a universal encoder design across various UEs can significantly reduce the model training and management efforts on the </w:t>
      </w:r>
      <w:r>
        <w:rPr>
          <w:rFonts w:hint="eastAsia" w:eastAsia="宋体"/>
          <w:color w:val="000000" w:themeColor="text1"/>
          <w14:textFill>
            <w14:solidFill>
              <w14:schemeClr w14:val="tx1"/>
            </w14:solidFill>
          </w14:textFill>
        </w:rPr>
        <w:t xml:space="preserve">NW </w:t>
      </w:r>
      <w:r>
        <w:rPr>
          <w:rFonts w:hint="eastAsia"/>
          <w:color w:val="000000" w:themeColor="text1"/>
          <w14:textFill>
            <w14:solidFill>
              <w14:schemeClr w14:val="tx1"/>
            </w14:solidFill>
          </w14:textFill>
        </w:rPr>
        <w:t xml:space="preserve">side, while keeping the model complexity manageable. However, this approach may result in </w:t>
      </w:r>
      <w:r>
        <w:rPr>
          <w:rFonts w:hint="eastAsia" w:eastAsia="宋体"/>
          <w:color w:val="000000" w:themeColor="text1"/>
          <w14:textFill>
            <w14:solidFill>
              <w14:schemeClr w14:val="tx1"/>
            </w14:solidFill>
          </w14:textFill>
        </w:rPr>
        <w:t xml:space="preserve">potential </w:t>
      </w:r>
      <w:r>
        <w:rPr>
          <w:rFonts w:hint="eastAsia"/>
          <w:color w:val="000000" w:themeColor="text1"/>
          <w14:textFill>
            <w14:solidFill>
              <w14:schemeClr w14:val="tx1"/>
            </w14:solidFill>
          </w14:textFill>
        </w:rPr>
        <w:t>performance degradation due to the lack of UE-specific optimization.</w:t>
      </w:r>
      <w:r>
        <w:rPr>
          <w:rFonts w:hint="eastAsia" w:eastAsia="宋体"/>
          <w:color w:val="000000" w:themeColor="text1"/>
          <w14:textFill>
            <w14:solidFill>
              <w14:schemeClr w14:val="tx1"/>
            </w14:solidFill>
          </w14:textFill>
        </w:rPr>
        <w:t xml:space="preserve"> Therefore, to answer this issue, further evaluation comparisons between </w:t>
      </w:r>
      <w:r>
        <w:rPr>
          <w:rFonts w:hint="eastAsia"/>
          <w:color w:val="000000" w:themeColor="text1"/>
          <w14:textFill>
            <w14:solidFill>
              <w14:schemeClr w14:val="tx1"/>
            </w14:solidFill>
          </w14:textFill>
        </w:rPr>
        <w:t xml:space="preserve">universal encoder </w:t>
      </w:r>
      <w:r>
        <w:rPr>
          <w:rFonts w:hint="eastAsia" w:eastAsia="宋体"/>
          <w:color w:val="000000" w:themeColor="text1"/>
          <w14:textFill>
            <w14:solidFill>
              <w14:schemeClr w14:val="tx1"/>
            </w14:solidFill>
          </w14:textFill>
        </w:rPr>
        <w:t>and UE-specific encoder design are necessary.</w:t>
      </w:r>
    </w:p>
    <w:p>
      <w:pPr>
        <w:pStyle w:val="147"/>
        <w:snapToGrid w:val="0"/>
        <w:spacing w:before="72" w:after="72"/>
        <w:jc w:val="both"/>
        <w:rPr>
          <w:b w:val="0"/>
          <w:color w:val="000000" w:themeColor="text1"/>
          <w:szCs w:val="20"/>
          <w:lang w:val="en-US"/>
          <w14:textFill>
            <w14:solidFill>
              <w14:schemeClr w14:val="tx1"/>
            </w14:solidFill>
          </w14:textFill>
        </w:rPr>
      </w:pPr>
      <w:bookmarkStart w:id="6" w:name="_Hlk178349543"/>
      <w:r>
        <w:rPr>
          <w:rFonts w:hint="eastAsia"/>
          <w:b w:val="0"/>
          <w:color w:val="000000" w:themeColor="text1"/>
          <w:szCs w:val="20"/>
          <w:lang w:val="en-US"/>
          <w14:textFill>
            <w14:solidFill>
              <w14:schemeClr w14:val="tx1"/>
            </w14:solidFill>
          </w14:textFill>
        </w:rPr>
        <w:t>For Direction B, it may be infeasible for the NW side to train multiple encoders tailored to different UEs due to the potential UE proprietary information disclosure risks and offline collaboration efforts.</w:t>
      </w:r>
    </w:p>
    <w:bookmarkEnd w:id="6"/>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Direction B, the implementation of universal encoder across various UEs may or may not sacrifice the overall performance due to the lack of UE-specific encoder design and optimization.</w:t>
      </w:r>
    </w:p>
    <w:p>
      <w:pPr>
        <w:rPr>
          <w:color w:val="000000" w:themeColor="text1"/>
          <w:sz w:val="22"/>
          <w14:textFill>
            <w14:solidFill>
              <w14:schemeClr w14:val="tx1"/>
            </w14:solidFill>
          </w14:textFill>
        </w:rPr>
      </w:pP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6] Performance impact due to data distribution mismatch between NW side and UE side inference</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option 3b, it is crucial to acknowledge the potential for a significant temporal gap between the model training phase at the NW-side and the model deployment phase at the UE-side. This disparity, coupled with the unpredictable mobility of UEs and the dynamic nature of the channel environment, can lead to a mismatch between the data distribution at the NW side during training and the UE side during inference. Given the generalization constraints of CSI compression models, such data distribution mismatches </w:t>
      </w:r>
      <w:r>
        <w:rPr>
          <w:rFonts w:hint="eastAsia" w:eastAsia="宋体"/>
          <w:color w:val="000000" w:themeColor="text1"/>
          <w14:textFill>
            <w14:solidFill>
              <w14:schemeClr w14:val="tx1"/>
            </w14:solidFill>
          </w14:textFill>
        </w:rPr>
        <w:t xml:space="preserve">may </w:t>
      </w:r>
      <w:r>
        <w:rPr>
          <w:rFonts w:hint="eastAsia"/>
          <w:color w:val="000000" w:themeColor="text1"/>
          <w14:textFill>
            <w14:solidFill>
              <w14:schemeClr w14:val="tx1"/>
            </w14:solidFill>
          </w14:textFill>
        </w:rPr>
        <w:t>precipitate substantial performance degradation. It is noteworthy that similar challenges are encountered in other agendas, such as AI beam management, where this is recognized as a consistency issue across training and inference phases. Drawing from the discussions in AI beam management, the following two strategies can be contemplated to address the data distribution mismatch.</w:t>
      </w:r>
    </w:p>
    <w:p>
      <w:pPr>
        <w:numPr>
          <w:ilvl w:val="0"/>
          <w:numId w:val="17"/>
        </w:numPr>
        <w:tabs>
          <w:tab w:val="clear" w:pos="-420"/>
        </w:tabs>
        <w:adjustRightInd w:val="0"/>
        <w:snapToGrid w:val="0"/>
        <w:spacing w:before="72" w:beforeLines="30" w:after="72" w:afterLines="30" w:line="288" w:lineRule="auto"/>
        <w:ind w:left="42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Data categorization using associated IDs. Assigning associated IDs that abstract the NW-side additional conditions (e.g., TxRU mappings, antenna height, antenna down tilt) and UE-side additional conditions (e.g., UE speeds, RF characteristics) can aid in data categorization. The repeated reception of the same associated ID signifies that the same set of additional conditions from the opposite node is being utilized. This exchange, predicated on associated IDs, ensures consistency in the NW-side additional conditions or UE-side additional conditions across training and inference, thereby significantly mitigating the mismatch between the NW-side data distribution and the UE-side inference data distribution.</w:t>
      </w:r>
    </w:p>
    <w:p>
      <w:pPr>
        <w:numPr>
          <w:ilvl w:val="0"/>
          <w:numId w:val="17"/>
        </w:numPr>
        <w:tabs>
          <w:tab w:val="clear" w:pos="-420"/>
        </w:tabs>
        <w:adjustRightInd w:val="0"/>
        <w:snapToGrid w:val="0"/>
        <w:spacing w:before="72" w:beforeLines="30" w:after="72" w:afterLines="30" w:line="288" w:lineRule="auto"/>
        <w:ind w:left="42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Continuous monitoring and performance feedback. Even with the alignment of additional conditions through associated IDs, data distribution mismatches may persist due to the dynamic and unpredictable variations in channel environments, such as blockages. In such scenarios, monitoring-based approaches become essential for addressing data distribution mismatches. Specifically, if continuous monitoring reveals that predefined performance thresholds are not being met, it can be inferred that a data distribution mismatch has occurred. Consequently, this would trigger model deactivation, switching, or retraining to align with the current operational context.</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bookmarkStart w:id="7" w:name="_Hlk178349559"/>
      <w:r>
        <w:rPr>
          <w:rFonts w:hint="eastAsia"/>
          <w:color w:val="000000" w:themeColor="text1"/>
          <w:szCs w:val="20"/>
          <w:lang w:val="en-US"/>
          <w14:textFill>
            <w14:solidFill>
              <w14:schemeClr w14:val="tx1"/>
            </w14:solidFill>
          </w14:textFill>
        </w:rPr>
        <w:t xml:space="preserve">Observation </w:t>
      </w:r>
      <w:r>
        <w:rPr>
          <w:rFonts w:hint="eastAsia"/>
          <w:color w:val="000000" w:themeColor="text1"/>
          <w:szCs w:val="20"/>
          <w:lang w:val="en-US" w:eastAsia="zh-CN"/>
          <w14:textFill>
            <w14:solidFill>
              <w14:schemeClr w14:val="tx1"/>
            </w14:solidFill>
          </w14:textFill>
        </w:rPr>
        <w:t>5</w:t>
      </w:r>
      <w:r>
        <w:rPr>
          <w:rFonts w:hint="eastAsia"/>
          <w:color w:val="000000" w:themeColor="text1"/>
          <w:szCs w:val="20"/>
          <w:lang w:val="en-US"/>
          <w14:textFill>
            <w14:solidFill>
              <w14:schemeClr w14:val="tx1"/>
            </w14:solidFill>
          </w14:textFill>
        </w:rPr>
        <w:t xml:space="preserve">: </w:t>
      </w:r>
      <w:r>
        <w:rPr>
          <w:rFonts w:hint="eastAsia"/>
          <w:b w:val="0"/>
          <w:color w:val="000000" w:themeColor="text1"/>
          <w:szCs w:val="20"/>
          <w:lang w:val="en-US"/>
          <w14:textFill>
            <w14:solidFill>
              <w14:schemeClr w14:val="tx1"/>
            </w14:solidFill>
          </w14:textFill>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Direction B, data categorization using associated IDs and continuous monitoring can be considered for addressing the data distribution mismatch issues.</w:t>
      </w:r>
    </w:p>
    <w:bookmarkEnd w:id="7"/>
    <w:p>
      <w:pPr>
        <w:adjustRightInd w:val="0"/>
        <w:snapToGrid w:val="0"/>
        <w:spacing w:before="72" w:beforeLines="30" w:after="72" w:afterLines="30" w:line="288" w:lineRule="auto"/>
        <w:jc w:val="both"/>
        <w:rPr>
          <w:color w:val="000000" w:themeColor="text1"/>
          <w14:textFill>
            <w14:solidFill>
              <w14:schemeClr w14:val="tx1"/>
            </w14:solidFill>
          </w14:textFill>
        </w:rPr>
      </w:pP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7] NW</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and UE</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proprietary information disclosure</w:t>
      </w:r>
    </w:p>
    <w:p>
      <w:pPr>
        <w:adjustRightInd w:val="0"/>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hint="eastAsia"/>
          <w:color w:val="000000" w:themeColor="text1"/>
          <w14:textFill>
            <w14:solidFill>
              <w14:schemeClr w14:val="tx1"/>
            </w14:solidFill>
          </w14:textFill>
        </w:rPr>
        <w:t>For option 3b, it has been agreed in RAN1#116b</w:t>
      </w:r>
      <w:r>
        <w:rPr>
          <w:color w:val="000000" w:themeColor="text1"/>
          <w14:textFill>
            <w14:solidFill>
              <w14:schemeClr w14:val="tx1"/>
            </w14:solidFill>
          </w14:textFill>
        </w:rPr>
        <w:t>is</w:t>
      </w:r>
      <w:r>
        <w:rPr>
          <w:rFonts w:hint="eastAsia"/>
          <w:color w:val="000000" w:themeColor="text1"/>
          <w14:textFill>
            <w14:solidFill>
              <w14:schemeClr w14:val="tx1"/>
            </w14:solidFill>
          </w14:textFill>
        </w:rPr>
        <w:t xml:space="preserve"> that the method of exchanging is over the air-interface via model transfer/delivery Case z4. </w:t>
      </w:r>
      <w:r>
        <w:rPr>
          <w:rFonts w:hint="eastAsia" w:eastAsia="宋体"/>
          <w:color w:val="000000" w:themeColor="text1"/>
          <w:szCs w:val="20"/>
          <w14:textFill>
            <w14:solidFill>
              <w14:schemeClr w14:val="tx1"/>
            </w14:solidFill>
          </w14:textFill>
        </w:rPr>
        <w:t xml:space="preserve">It is important to note that extensive discussions have already been conducted regarding </w:t>
      </w:r>
      <w:r>
        <w:rPr>
          <w:rFonts w:hint="eastAsia"/>
          <w:color w:val="000000" w:themeColor="text1"/>
          <w14:textFill>
            <w14:solidFill>
              <w14:schemeClr w14:val="tx1"/>
            </w14:solidFill>
          </w14:textFill>
        </w:rPr>
        <w:t xml:space="preserve">model transfer/delivery </w:t>
      </w:r>
      <w:r>
        <w:rPr>
          <w:rFonts w:hint="eastAsia" w:eastAsia="宋体"/>
          <w:color w:val="000000" w:themeColor="text1"/>
          <w:szCs w:val="20"/>
          <w14:textFill>
            <w14:solidFill>
              <w14:schemeClr w14:val="tx1"/>
            </w14:solidFill>
          </w14:textFill>
        </w:rPr>
        <w:t>Case z4 within the context of the Rel-18 AI PHY framework agenda</w:t>
      </w:r>
      <w:r>
        <w:rPr>
          <w:rFonts w:eastAsia="宋体"/>
          <w:color w:val="000000" w:themeColor="text1"/>
          <w:szCs w:val="20"/>
          <w14:textFill>
            <w14:solidFill>
              <w14:schemeClr w14:val="tx1"/>
            </w14:solidFill>
          </w14:textFill>
        </w:rPr>
        <w:t>, shown as Figure 12</w:t>
      </w:r>
      <w:r>
        <w:rPr>
          <w:rFonts w:hint="eastAsia" w:eastAsia="宋体"/>
          <w:color w:val="000000" w:themeColor="text1"/>
          <w:szCs w:val="20"/>
          <w14:textFill>
            <w14:solidFill>
              <w14:schemeClr w14:val="tx1"/>
            </w14:solidFill>
          </w14:textFill>
        </w:rPr>
        <w:t>. The discussions highlighted a significant challenge associated with model transfer/delivery Case z4: the preservation of proprietary design elements. The general consensus was that unless a model is widely recognized and devoid of device-specific design decisions - such as the number of layers, activation function, quantization, and other parameters that could be considered design secrets - there is a risk of proprietary information disclosure. This conclusion is directly applicable to option 3b, which may or may not carry risks of disclosing proprietary information between the NW and UE. From the NW</w:t>
      </w:r>
      <w:r>
        <w:rPr>
          <w:rFonts w:eastAsia="宋体"/>
          <w:color w:val="000000" w:themeColor="text1"/>
          <w:szCs w:val="20"/>
          <w14:textFill>
            <w14:solidFill>
              <w14:schemeClr w14:val="tx1"/>
            </w14:solidFill>
          </w14:textFill>
        </w:rPr>
        <w:t>’</w:t>
      </w:r>
      <w:r>
        <w:rPr>
          <w:rFonts w:hint="eastAsia" w:eastAsia="宋体"/>
          <w:color w:val="000000" w:themeColor="text1"/>
          <w:szCs w:val="20"/>
          <w14:textFill>
            <w14:solidFill>
              <w14:schemeClr w14:val="tx1"/>
            </w14:solidFill>
          </w14:textFill>
        </w:rPr>
        <w:t>s standpoint, the proprietary design of model parameters is revealed to the UE for inference purposes, which may potentially expose sensitive information. Conversely, from the UE</w:t>
      </w:r>
      <w:r>
        <w:rPr>
          <w:rFonts w:eastAsia="宋体"/>
          <w:color w:val="000000" w:themeColor="text1"/>
          <w:szCs w:val="20"/>
          <w14:textFill>
            <w14:solidFill>
              <w14:schemeClr w14:val="tx1"/>
            </w14:solidFill>
          </w14:textFill>
        </w:rPr>
        <w:t>’</w:t>
      </w:r>
      <w:r>
        <w:rPr>
          <w:rFonts w:hint="eastAsia" w:eastAsia="宋体"/>
          <w:color w:val="000000" w:themeColor="text1"/>
          <w:szCs w:val="20"/>
          <w14:textFill>
            <w14:solidFill>
              <w14:schemeClr w14:val="tx1"/>
            </w14:solidFill>
          </w14:textFill>
        </w:rPr>
        <w:t>s perspective, since the model is utilized directly for inference without the need for offline engineering, there is an expectation that device-specific design decisions</w:t>
      </w:r>
      <w:r>
        <w:rPr>
          <w:color w:val="000000" w:themeColor="text1"/>
          <w:szCs w:val="20"/>
          <w:lang w:val="en-GB"/>
          <w14:textFill>
            <w14:solidFill>
              <w14:schemeClr w14:val="tx1"/>
            </w14:solidFill>
          </w14:textFill>
        </w:rPr>
        <w:t xml:space="preserve"> (such as number of layers, activation </w:t>
      </w:r>
      <w:r>
        <w:rPr>
          <w:rFonts w:hint="eastAsia" w:eastAsia="宋体"/>
          <w:color w:val="000000" w:themeColor="text1"/>
          <w:szCs w:val="20"/>
          <w14:textFill>
            <w14:solidFill>
              <w14:schemeClr w14:val="tx1"/>
            </w14:solidFill>
          </w14:textFill>
        </w:rPr>
        <w:t>function</w:t>
      </w:r>
      <w:r>
        <w:rPr>
          <w:color w:val="000000" w:themeColor="text1"/>
          <w:szCs w:val="20"/>
          <w:lang w:val="en-GB"/>
          <w14:textFill>
            <w14:solidFill>
              <w14:schemeClr w14:val="tx1"/>
            </w14:solidFill>
          </w14:textFill>
        </w:rPr>
        <w:t>, quantization, etc.)</w:t>
      </w:r>
      <w:r>
        <w:rPr>
          <w:rFonts w:hint="eastAsia" w:eastAsia="宋体"/>
          <w:color w:val="000000" w:themeColor="text1"/>
          <w:szCs w:val="20"/>
          <w14:textFill>
            <w14:solidFill>
              <w14:schemeClr w14:val="tx1"/>
            </w14:solidFill>
          </w14:textFill>
        </w:rPr>
        <w:t xml:space="preserve"> may be shared to the NW beforehand. In some specific cases, this sharing is essential to enable potential UE-side activities such as compiling, computation acceleration, or optimization.</w:t>
      </w:r>
    </w:p>
    <w:p>
      <w:pPr>
        <w:adjustRightInd w:val="0"/>
        <w:snapToGrid w:val="0"/>
        <w:spacing w:before="72" w:beforeLines="30" w:after="72" w:afterLines="30" w:line="288" w:lineRule="auto"/>
        <w:jc w:val="center"/>
        <w:rPr>
          <w:rFonts w:eastAsiaTheme="minorEastAsia"/>
          <w:color w:val="000000" w:themeColor="text1"/>
          <w14:textFill>
            <w14:solidFill>
              <w14:schemeClr w14:val="tx1"/>
            </w14:solidFill>
          </w14:textFill>
        </w:rPr>
      </w:pPr>
      <w:r>
        <w:rPr>
          <w:rFonts w:eastAsia="宋体"/>
          <w:color w:val="000000" w:themeColor="text1"/>
          <w:szCs w:val="20"/>
          <w14:textFill>
            <w14:solidFill>
              <w14:schemeClr w14:val="tx1"/>
            </w14:solidFill>
          </w14:textFill>
        </w:rPr>
        <w:drawing>
          <wp:inline distT="0" distB="0" distL="114300" distR="114300">
            <wp:extent cx="2933700" cy="2176780"/>
            <wp:effectExtent l="0" t="0" r="0" b="7620"/>
            <wp:docPr id="11" name="图片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
                    <pic:cNvPicPr>
                      <a:picLocks noChangeAspect="1"/>
                    </pic:cNvPicPr>
                  </pic:nvPicPr>
                  <pic:blipFill>
                    <a:blip r:embed="rId6"/>
                    <a:stretch>
                      <a:fillRect/>
                    </a:stretch>
                  </pic:blipFill>
                  <pic:spPr>
                    <a:xfrm>
                      <a:off x="0" y="0"/>
                      <a:ext cx="2933700" cy="2176780"/>
                    </a:xfrm>
                    <a:prstGeom prst="rect">
                      <a:avLst/>
                    </a:prstGeom>
                  </pic:spPr>
                </pic:pic>
              </a:graphicData>
            </a:graphic>
          </wp:inline>
        </w:drawing>
      </w:r>
    </w:p>
    <w:p>
      <w:pPr>
        <w:adjustRightInd w:val="0"/>
        <w:snapToGrid w:val="0"/>
        <w:spacing w:before="72" w:beforeLines="30" w:after="72" w:afterLines="30" w:line="288" w:lineRule="auto"/>
        <w:jc w:val="center"/>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F</w:t>
      </w:r>
      <w:r>
        <w:rPr>
          <w:rFonts w:eastAsiaTheme="minorEastAsia"/>
          <w:color w:val="000000" w:themeColor="text1"/>
          <w14:textFill>
            <w14:solidFill>
              <w14:schemeClr w14:val="tx1"/>
            </w14:solidFill>
          </w14:textFill>
        </w:rPr>
        <w:t>igure 12 Illustration for model transfer/delivery Case z4</w:t>
      </w:r>
    </w:p>
    <w:p>
      <w:pPr>
        <w:pStyle w:val="147"/>
        <w:snapToGrid w:val="0"/>
        <w:spacing w:before="72" w:after="72"/>
        <w:jc w:val="both"/>
        <w:rPr>
          <w:b w:val="0"/>
          <w:color w:val="000000" w:themeColor="text1"/>
          <w:szCs w:val="20"/>
          <w:lang w:val="en-US"/>
          <w14:textFill>
            <w14:solidFill>
              <w14:schemeClr w14:val="tx1"/>
            </w14:solidFill>
          </w14:textFill>
        </w:rPr>
      </w:pPr>
      <w:bookmarkStart w:id="8" w:name="_Hlk178349576"/>
      <w:r>
        <w:rPr>
          <w:rFonts w:hint="eastAsia"/>
          <w:b w:val="0"/>
          <w:color w:val="000000" w:themeColor="text1"/>
          <w:szCs w:val="20"/>
          <w:lang w:val="en-US"/>
          <w14:textFill>
            <w14:solidFill>
              <w14:schemeClr w14:val="tx1"/>
            </w14:solidFill>
          </w14:textFill>
        </w:rPr>
        <w:t>Direction B may not carry risks of disclosing proprietary information if the model parameters to be transferred are widely recognized and devoid of device-specific design decisions.</w:t>
      </w:r>
    </w:p>
    <w:bookmarkEnd w:id="8"/>
    <w:p>
      <w:pPr>
        <w:rPr>
          <w:color w:val="000000" w:themeColor="text1"/>
          <w:sz w:val="22"/>
          <w14:textFill>
            <w14:solidFill>
              <w14:schemeClr w14:val="tx1"/>
            </w14:solidFill>
          </w14:textFill>
        </w:rPr>
      </w:pPr>
    </w:p>
    <w:p>
      <w:pPr>
        <w:numPr>
          <w:ilvl w:val="2"/>
          <w:numId w:val="10"/>
        </w:numPr>
        <w:adjustRightInd w:val="0"/>
        <w:snapToGrid w:val="0"/>
        <w:spacing w:before="72" w:beforeLines="30" w:after="72" w:afterLines="30" w:line="288" w:lineRule="auto"/>
        <w:jc w:val="both"/>
        <w:outlineLvl w:val="2"/>
        <w:rPr>
          <w:rFonts w:eastAsia="宋体"/>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Direction C with fully standardized reference model</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Regarding </w:t>
      </w:r>
      <w:r>
        <w:rPr>
          <w:rFonts w:hint="eastAsia" w:eastAsia="宋体"/>
          <w:color w:val="000000" w:themeColor="text1"/>
          <w14:textFill>
            <w14:solidFill>
              <w14:schemeClr w14:val="tx1"/>
            </w14:solidFill>
          </w14:textFill>
        </w:rPr>
        <w:t>Direction C</w:t>
      </w:r>
      <w:r>
        <w:rPr>
          <w:rFonts w:hint="eastAsia"/>
          <w:color w:val="000000" w:themeColor="text1"/>
          <w14:textFill>
            <w14:solidFill>
              <w14:schemeClr w14:val="tx1"/>
            </w14:solidFill>
          </w14:textFill>
        </w:rPr>
        <w:t xml:space="preserve"> (i.e., inter vendor collaboration option 1), both the model structure and parameters of the CSI generation part and/or CSI reconstruction part are specified. Thus, the inter vendor collaboration complexity can be greatly alleviated by standardized signaling. However, </w:t>
      </w:r>
      <w:r>
        <w:rPr>
          <w:rFonts w:hint="eastAsia" w:eastAsia="宋体"/>
          <w:color w:val="000000" w:themeColor="text1"/>
          <w14:textFill>
            <w14:solidFill>
              <w14:schemeClr w14:val="tx1"/>
            </w14:solidFill>
          </w14:textFill>
        </w:rPr>
        <w:t>Direction C</w:t>
      </w:r>
      <w:r>
        <w:rPr>
          <w:rFonts w:hint="eastAsia"/>
          <w:color w:val="000000" w:themeColor="text1"/>
          <w14:textFill>
            <w14:solidFill>
              <w14:schemeClr w14:val="tx1"/>
            </w14:solidFill>
          </w14:textFill>
        </w:rPr>
        <w:t xml:space="preserve"> may come with high specification effort and limited performance in the field. Besides, the following feasibility issues were raised by companies in RAN1#118.</w:t>
      </w: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8] Training data collection with synthetic or field data</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The performance of option 1 heavily relies on the qua</w:t>
      </w:r>
      <w:r>
        <w:rPr>
          <w:rFonts w:hint="eastAsia"/>
          <w:color w:val="000000" w:themeColor="text1"/>
          <w14:textFill>
            <w14:solidFill>
              <w14:schemeClr w14:val="tx1"/>
            </w14:solidFill>
          </w14:textFill>
        </w:rPr>
        <w:t>l</w:t>
      </w:r>
      <w:r>
        <w:rPr>
          <w:color w:val="000000" w:themeColor="text1"/>
          <w14:textFill>
            <w14:solidFill>
              <w14:schemeClr w14:val="tx1"/>
            </w14:solidFill>
          </w14:textFill>
        </w:rPr>
        <w:t xml:space="preserve">ity of training data. Field data, while reflective of real-world scenarios, is often limited in availability and surrounded by privacy, security, and regulatory considerations. In contrast, synthetic data generated under 3GPP’s statistical channel model is a promising alternative that allows for data sharing and utilization in ways that real-world data cannot facilitate. Additionally, compared with field data, </w:t>
      </w:r>
      <w:r>
        <w:rPr>
          <w:rFonts w:hint="eastAsia"/>
          <w:color w:val="000000" w:themeColor="text1"/>
          <w14:textFill>
            <w14:solidFill>
              <w14:schemeClr w14:val="tx1"/>
            </w14:solidFill>
          </w14:textFill>
        </w:rPr>
        <w:t>synthetic</w:t>
      </w:r>
      <w:r>
        <w:rPr>
          <w:color w:val="000000" w:themeColor="text1"/>
          <w14:textFill>
            <w14:solidFill>
              <w14:schemeClr w14:val="tx1"/>
            </w14:solidFill>
          </w14:textFill>
        </w:rPr>
        <w:t xml:space="preserve"> data can be generated without any proprietary information disclosure issues and thus can be easily aligned </w:t>
      </w:r>
      <w:r>
        <w:rPr>
          <w:rFonts w:hint="eastAsia"/>
          <w:color w:val="000000" w:themeColor="text1"/>
          <w14:textFill>
            <w14:solidFill>
              <w14:schemeClr w14:val="tx1"/>
            </w14:solidFill>
          </w14:textFill>
        </w:rPr>
        <w:t>across</w:t>
      </w:r>
      <w:r>
        <w:rPr>
          <w:color w:val="000000" w:themeColor="text1"/>
          <w14:textFill>
            <w14:solidFill>
              <w14:schemeClr w14:val="tx1"/>
            </w14:solidFill>
          </w14:textFill>
        </w:rPr>
        <w:t xml:space="preserve"> companies on the generation methods.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It is noteworthy that </w:t>
      </w:r>
      <w:r>
        <w:rPr>
          <w:rFonts w:hint="eastAsia"/>
          <w:color w:val="000000" w:themeColor="text1"/>
          <w14:textFill>
            <w14:solidFill>
              <w14:schemeClr w14:val="tx1"/>
            </w14:solidFill>
          </w14:textFill>
        </w:rPr>
        <w:t>in R</w:t>
      </w:r>
      <w:r>
        <w:rPr>
          <w:color w:val="000000" w:themeColor="text1"/>
          <w14:textFill>
            <w14:solidFill>
              <w14:schemeClr w14:val="tx1"/>
            </w14:solidFill>
          </w14:textFill>
        </w:rPr>
        <w:t>AN4#112</w:t>
      </w:r>
      <w:r>
        <w:rPr>
          <w:rFonts w:hint="eastAsia"/>
          <w:color w:val="000000" w:themeColor="text1"/>
          <w14:textFill>
            <w14:solidFill>
              <w14:schemeClr w14:val="tx1"/>
            </w14:solidFill>
          </w14:textFill>
        </w:rPr>
        <w:t xml:space="preserve"> meeting, it has been agreed by RAN4 to use synthetic channels as the default assumption for conformance requirements/test, while field data can be considered for the analysis. Therefore, to save RAN1 efforts on the alignment of training dataset generation, the RAN4 agreement can be reused as much as possible, where synthetic data based on </w:t>
      </w:r>
      <w:r>
        <w:rPr>
          <w:color w:val="000000" w:themeColor="text1"/>
          <w14:textFill>
            <w14:solidFill>
              <w14:schemeClr w14:val="tx1"/>
            </w14:solidFill>
          </w14:textFill>
        </w:rPr>
        <w:t>3GPP’s statistical channel model</w:t>
      </w:r>
      <w:r>
        <w:rPr>
          <w:rFonts w:hint="eastAsia"/>
          <w:color w:val="000000" w:themeColor="text1"/>
          <w14:textFill>
            <w14:solidFill>
              <w14:schemeClr w14:val="tx1"/>
            </w14:solidFill>
          </w14:textFill>
        </w:rPr>
        <w:t xml:space="preserve"> is taken as a starting point for reference model training.</w:t>
      </w:r>
    </w:p>
    <w:p>
      <w:pPr>
        <w:pStyle w:val="147"/>
        <w:snapToGrid w:val="0"/>
        <w:spacing w:before="72" w:after="72"/>
        <w:jc w:val="both"/>
        <w:rPr>
          <w:b w:val="0"/>
          <w:color w:val="000000" w:themeColor="text1"/>
          <w:szCs w:val="20"/>
          <w:lang w:val="en-US"/>
          <w14:textFill>
            <w14:solidFill>
              <w14:schemeClr w14:val="tx1"/>
            </w14:solidFill>
          </w14:textFill>
        </w:rPr>
      </w:pPr>
      <w:bookmarkStart w:id="9" w:name="_Hlk178349589"/>
      <w:r>
        <w:rPr>
          <w:rFonts w:hint="eastAsia"/>
          <w:b w:val="0"/>
          <w:color w:val="000000" w:themeColor="text1"/>
          <w:szCs w:val="20"/>
          <w:lang w:val="en-US"/>
          <w14:textFill>
            <w14:solidFill>
              <w14:schemeClr w14:val="tx1"/>
            </w14:solidFill>
          </w14:textFill>
        </w:rPr>
        <w:t>For Direction C, synthetic data generated under 3GPP</w:t>
      </w:r>
      <w:r>
        <w:rPr>
          <w:b w:val="0"/>
          <w:color w:val="000000" w:themeColor="text1"/>
          <w:szCs w:val="20"/>
          <w:lang w:val="en-US"/>
          <w14:textFill>
            <w14:solidFill>
              <w14:schemeClr w14:val="tx1"/>
            </w14:solidFill>
          </w14:textFill>
        </w:rPr>
        <w:t>’</w:t>
      </w:r>
      <w:r>
        <w:rPr>
          <w:rFonts w:hint="eastAsia"/>
          <w:b w:val="0"/>
          <w:color w:val="000000" w:themeColor="text1"/>
          <w:szCs w:val="20"/>
          <w:lang w:val="en-US"/>
          <w14:textFill>
            <w14:solidFill>
              <w14:schemeClr w14:val="tx1"/>
            </w14:solidFill>
          </w14:textFill>
        </w:rPr>
        <w:t>s statistical channel model can be a starting point for reference model training.</w:t>
      </w:r>
    </w:p>
    <w:bookmarkEnd w:id="9"/>
    <w:p>
      <w:pPr>
        <w:rPr>
          <w:rFonts w:eastAsia="宋体"/>
          <w:color w:val="000000" w:themeColor="text1"/>
          <w14:textFill>
            <w14:solidFill>
              <w14:schemeClr w14:val="tx1"/>
            </w14:solidFill>
          </w14:textFill>
        </w:rPr>
      </w:pP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[Issue 9] Performance impact due to data distribution mismatch between training data, NW side, and UE side</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The performance of </w:t>
      </w:r>
      <w:r>
        <w:rPr>
          <w:rFonts w:hint="eastAsia"/>
          <w:color w:val="000000" w:themeColor="text1"/>
          <w14:textFill>
            <w14:solidFill>
              <w14:schemeClr w14:val="tx1"/>
            </w14:solidFill>
          </w14:textFill>
        </w:rPr>
        <w:t>o</w:t>
      </w:r>
      <w:r>
        <w:rPr>
          <w:color w:val="000000" w:themeColor="text1"/>
          <w14:textFill>
            <w14:solidFill>
              <w14:schemeClr w14:val="tx1"/>
            </w14:solidFill>
          </w14:textFill>
        </w:rPr>
        <w:t>ption 1 is significantly influenced by the quality and representativeness of the training data used for developing reference models.</w:t>
      </w:r>
      <w:r>
        <w:rPr>
          <w:rFonts w:hint="eastAsia"/>
          <w:color w:val="000000" w:themeColor="text1"/>
          <w14:textFill>
            <w14:solidFill>
              <w14:schemeClr w14:val="tx1"/>
            </w14:solidFill>
          </w14:textFill>
        </w:rPr>
        <w:t xml:space="preserve"> As synthetic data based on </w:t>
      </w:r>
      <w:r>
        <w:rPr>
          <w:color w:val="000000" w:themeColor="text1"/>
          <w14:textFill>
            <w14:solidFill>
              <w14:schemeClr w14:val="tx1"/>
            </w14:solidFill>
          </w14:textFill>
        </w:rPr>
        <w:t>3GPP’s statistical channel model</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may </w:t>
      </w:r>
      <w:r>
        <w:rPr>
          <w:rFonts w:hint="eastAsia"/>
          <w:color w:val="000000" w:themeColor="text1"/>
          <w14:textFill>
            <w14:solidFill>
              <w14:schemeClr w14:val="tx1"/>
            </w14:solidFill>
          </w14:textFill>
        </w:rPr>
        <w:t xml:space="preserve">not capture all characteristics of real world, mismatch between the distribution of the dataset used for reference model(s) training, UE-side data distribution, and NW-side data distribution </w:t>
      </w:r>
      <w:r>
        <w:rPr>
          <w:rFonts w:hint="eastAsia" w:eastAsia="宋体"/>
          <w:color w:val="000000" w:themeColor="text1"/>
          <w14:textFill>
            <w14:solidFill>
              <w14:schemeClr w14:val="tx1"/>
            </w14:solidFill>
          </w14:textFill>
        </w:rPr>
        <w:t xml:space="preserve">may </w:t>
      </w:r>
      <w:r>
        <w:rPr>
          <w:rFonts w:hint="eastAsia"/>
          <w:color w:val="000000" w:themeColor="text1"/>
          <w14:textFill>
            <w14:solidFill>
              <w14:schemeClr w14:val="tx1"/>
            </w14:solidFill>
          </w14:textFill>
        </w:rPr>
        <w:t xml:space="preserve">happen. </w:t>
      </w:r>
      <w:r>
        <w:rPr>
          <w:rFonts w:hint="eastAsia" w:eastAsia="宋体"/>
          <w:color w:val="000000" w:themeColor="text1"/>
          <w14:textFill>
            <w14:solidFill>
              <w14:schemeClr w14:val="tx1"/>
            </w14:solidFill>
          </w14:textFill>
        </w:rPr>
        <w:t>Anyway, whether there is any performanc</w:t>
      </w:r>
      <w:r>
        <w:rPr>
          <w:rFonts w:eastAsia="宋体"/>
          <w:color w:val="000000" w:themeColor="text1"/>
          <w14:textFill>
            <w14:solidFill>
              <w14:schemeClr w14:val="tx1"/>
            </w14:solidFill>
          </w14:textFill>
        </w:rPr>
        <w:t>e</w:t>
      </w:r>
      <w:r>
        <w:rPr>
          <w:rFonts w:hint="eastAsia" w:eastAsia="宋体"/>
          <w:color w:val="000000" w:themeColor="text1"/>
          <w14:textFill>
            <w14:solidFill>
              <w14:schemeClr w14:val="tx1"/>
            </w14:solidFill>
          </w14:textFill>
        </w:rPr>
        <w:t xml:space="preserve"> impact due to data distribution mismatch depends on the generalization capability of the standardized reference model and thus further evaluations are necessary before drawing any hasty conclusions. </w:t>
      </w:r>
      <w:r>
        <w:rPr>
          <w:rFonts w:hint="eastAsia"/>
          <w:color w:val="000000" w:themeColor="text1"/>
          <w14:textFill>
            <w14:solidFill>
              <w14:schemeClr w14:val="tx1"/>
            </w14:solidFill>
          </w14:textFill>
        </w:rPr>
        <w:t>To address the data distribution mismatch issues</w:t>
      </w:r>
      <w:r>
        <w:rPr>
          <w:rFonts w:hint="eastAsia" w:eastAsia="宋体"/>
          <w:color w:val="000000" w:themeColor="text1"/>
          <w14:textFill>
            <w14:solidFill>
              <w14:schemeClr w14:val="tx1"/>
            </w14:solidFill>
          </w14:textFill>
        </w:rPr>
        <w:t xml:space="preserve"> (if needed)</w:t>
      </w:r>
      <w:r>
        <w:rPr>
          <w:rFonts w:hint="eastAsia"/>
          <w:color w:val="000000" w:themeColor="text1"/>
          <w14:textFill>
            <w14:solidFill>
              <w14:schemeClr w14:val="tx1"/>
            </w14:solidFill>
          </w14:textFill>
        </w:rPr>
        <w:t xml:space="preserve">, model retraining based on data collected in real time can be performed to </w:t>
      </w:r>
      <w:r>
        <w:rPr>
          <w:color w:val="000000" w:themeColor="text1"/>
          <w14:textFill>
            <w14:solidFill>
              <w14:schemeClr w14:val="tx1"/>
            </w14:solidFill>
          </w14:textFill>
        </w:rPr>
        <w:t>bridge the gap between synthetic and real-world data</w:t>
      </w:r>
      <w:r>
        <w:rPr>
          <w:rFonts w:hint="eastAsia"/>
          <w:color w:val="000000" w:themeColor="text1"/>
          <w14:textFill>
            <w14:solidFill>
              <w14:schemeClr w14:val="tx1"/>
            </w14:solidFill>
          </w14:textFill>
        </w:rPr>
        <w:t xml:space="preserve">. For example, as generally there is not a big difference between the synthetic data used for reference model training and the field data, most of the standardized layers or parameters can be maintained/frozen, while only few of the trainable layers are keeping updated to adapt to realistic configurations/settings/scenarios. Alternatively, model fine-tuning can be conducted to address the data distribution mismatch issues, which consists of unfreezing the entire model (or part of it) and re-training it on the new data with a very low learning rate. Both methods </w:t>
      </w:r>
      <w:r>
        <w:rPr>
          <w:color w:val="000000" w:themeColor="text1"/>
          <w14:textFill>
            <w14:solidFill>
              <w14:schemeClr w14:val="tx1"/>
            </w14:solidFill>
          </w14:textFill>
        </w:rPr>
        <w:t>are capable of delivering substantial improvements by incrementally adapting the pre-trained model features to align with new data distributions.</w:t>
      </w:r>
    </w:p>
    <w:p>
      <w:pPr>
        <w:widowControl w:val="0"/>
        <w:snapToGrid w:val="0"/>
        <w:spacing w:before="72" w:beforeLines="30" w:after="72" w:afterLines="30" w:line="288" w:lineRule="auto"/>
        <w:jc w:val="both"/>
        <w:rPr>
          <w:rFonts w:eastAsiaTheme="minorEastAsia"/>
          <w:b/>
          <w:i/>
          <w:color w:val="000000" w:themeColor="text1"/>
          <w14:textFill>
            <w14:solidFill>
              <w14:schemeClr w14:val="tx1"/>
            </w14:solidFill>
          </w14:textFill>
        </w:rPr>
      </w:pPr>
      <w:bookmarkStart w:id="10" w:name="_Hlk178349608"/>
      <w:r>
        <w:rPr>
          <w:rFonts w:hint="eastAsia" w:eastAsiaTheme="minorEastAsia"/>
          <w:b/>
          <w:i/>
          <w:color w:val="000000" w:themeColor="text1"/>
          <w14:textFill>
            <w14:solidFill>
              <w14:schemeClr w14:val="tx1"/>
            </w14:solidFill>
          </w14:textFill>
        </w:rPr>
        <w:t>Observation</w:t>
      </w:r>
      <w:r>
        <w:rPr>
          <w:rFonts w:eastAsiaTheme="minorEastAsia"/>
          <w:b/>
          <w:i/>
          <w:color w:val="000000" w:themeColor="text1"/>
          <w14:textFill>
            <w14:solidFill>
              <w14:schemeClr w14:val="tx1"/>
            </w14:solidFill>
          </w14:textFill>
        </w:rPr>
        <w:t xml:space="preserve"> </w:t>
      </w:r>
      <w:r>
        <w:rPr>
          <w:rFonts w:hint="eastAsia" w:eastAsiaTheme="minorEastAsia"/>
          <w:b/>
          <w:i/>
          <w:color w:val="000000" w:themeColor="text1"/>
          <w:lang w:val="en-US" w:eastAsia="zh-CN"/>
          <w14:textFill>
            <w14:solidFill>
              <w14:schemeClr w14:val="tx1"/>
            </w14:solidFill>
          </w14:textFill>
        </w:rPr>
        <w:t>6</w:t>
      </w:r>
      <w:r>
        <w:rPr>
          <w:rFonts w:eastAsiaTheme="minorEastAsia"/>
          <w:b/>
          <w:i/>
          <w:color w:val="000000" w:themeColor="text1"/>
          <w14:textFill>
            <w14:solidFill>
              <w14:schemeClr w14:val="tx1"/>
            </w14:solidFill>
          </w14:textFill>
        </w:rPr>
        <w:t>:</w:t>
      </w:r>
      <w:r>
        <w:rPr>
          <w:rFonts w:hint="eastAsia" w:eastAsiaTheme="minorEastAsia"/>
          <w:b/>
          <w:i/>
          <w:color w:val="000000" w:themeColor="text1"/>
          <w14:textFill>
            <w14:solidFill>
              <w14:schemeClr w14:val="tx1"/>
            </w14:solidFill>
          </w14:textFill>
        </w:rPr>
        <w:t xml:space="preserve"> </w:t>
      </w:r>
      <w:r>
        <w:rPr>
          <w:rFonts w:hint="eastAsia" w:eastAsiaTheme="minorEastAsia"/>
          <w:i/>
          <w:color w:val="000000" w:themeColor="text1"/>
          <w14:textFill>
            <w14:solidFill>
              <w14:schemeClr w14:val="tx1"/>
            </w14:solidFill>
          </w14:textFill>
        </w:rPr>
        <w:t>For Direction C, as synthetic data may not capture all characteristics of real world, mismatch between the distribution of the dataset used for reference model(s) training, UE-side data distribution, and NW-side data distribution happens.</w:t>
      </w:r>
      <w:r>
        <w:rPr>
          <w:rFonts w:eastAsiaTheme="minorEastAsia"/>
          <w:i/>
          <w:color w:val="000000" w:themeColor="text1"/>
          <w14:textFill>
            <w14:solidFill>
              <w14:schemeClr w14:val="tx1"/>
            </w14:solidFill>
          </w14:textFill>
        </w:rPr>
        <w:t xml:space="preserve"> </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Direction C, whether there is any performance impact arising from the data distribution mismatch depends on the generalization capability of the standardized reference model and thus further evaluations are needed.</w:t>
      </w:r>
    </w:p>
    <w:p>
      <w:pPr>
        <w:pStyle w:val="147"/>
        <w:snapToGrid w:val="0"/>
        <w:spacing w:before="72" w:after="72"/>
        <w:jc w:val="both"/>
        <w:rPr>
          <w:color w:val="000000" w:themeColor="text1"/>
          <w14:textFill>
            <w14:solidFill>
              <w14:schemeClr w14:val="tx1"/>
            </w14:solidFill>
          </w14:textFill>
        </w:rPr>
      </w:pPr>
      <w:r>
        <w:rPr>
          <w:rFonts w:hint="eastAsia"/>
          <w:b w:val="0"/>
          <w:color w:val="000000" w:themeColor="text1"/>
          <w:szCs w:val="20"/>
          <w:lang w:val="en-US"/>
          <w14:textFill>
            <w14:solidFill>
              <w14:schemeClr w14:val="tx1"/>
            </w14:solidFill>
          </w14:textFill>
        </w:rPr>
        <w:t>For Direction C, model retraining based on data collected in real world can be performed to bridge the gap between synthetic data and field data.</w:t>
      </w:r>
      <w:bookmarkEnd w:id="10"/>
    </w:p>
    <w:p>
      <w:pPr>
        <w:pStyle w:val="147"/>
        <w:numPr>
          <w:ilvl w:val="0"/>
          <w:numId w:val="0"/>
        </w:numPr>
        <w:snapToGrid w:val="0"/>
        <w:spacing w:before="72" w:after="72"/>
        <w:jc w:val="both"/>
        <w:rPr>
          <w:color w:val="000000" w:themeColor="text1"/>
          <w14:textFill>
            <w14:solidFill>
              <w14:schemeClr w14:val="tx1"/>
            </w14:solidFill>
          </w14:textFill>
        </w:rPr>
      </w:pPr>
    </w:p>
    <w:p>
      <w:pPr>
        <w:tabs>
          <w:tab w:val="left" w:pos="432"/>
        </w:tabs>
        <w:snapToGrid w:val="0"/>
        <w:spacing w:before="72" w:beforeLines="30" w:after="72" w:afterLines="30" w:line="288" w:lineRule="auto"/>
        <w:jc w:val="both"/>
        <w:rPr>
          <w:rFonts w:eastAsia="宋体"/>
          <w:iCs/>
          <w:color w:val="000000" w:themeColor="text1"/>
          <w14:textFill>
            <w14:solidFill>
              <w14:schemeClr w14:val="tx1"/>
            </w14:solidFill>
          </w14:textFill>
        </w:rPr>
      </w:pPr>
      <w:r>
        <w:rPr>
          <w:rFonts w:hint="eastAsia" w:eastAsia="宋体"/>
          <w:iCs/>
          <w:color w:val="000000" w:themeColor="text1"/>
          <w14:textFill>
            <w14:solidFill>
              <w14:schemeClr w14:val="tx1"/>
            </w14:solidFill>
          </w14:textFill>
        </w:rPr>
        <w:t>It</w:t>
      </w:r>
      <w:r>
        <w:rPr>
          <w:rFonts w:eastAsia="宋体"/>
          <w:iCs/>
          <w:color w:val="000000" w:themeColor="text1"/>
          <w14:textFill>
            <w14:solidFill>
              <w14:schemeClr w14:val="tx1"/>
            </w14:solidFill>
          </w14:textFill>
        </w:rPr>
        <w:t>’</w:t>
      </w:r>
      <w:r>
        <w:rPr>
          <w:rFonts w:hint="eastAsia" w:eastAsia="宋体"/>
          <w:iCs/>
          <w:color w:val="000000" w:themeColor="text1"/>
          <w14:textFill>
            <w14:solidFill>
              <w14:schemeClr w14:val="tx1"/>
            </w14:solidFill>
          </w14:textFill>
        </w:rPr>
        <w:t>s worth noting that the above Issues 8 and 9 are also applicable to directions A and B. As discussed before, in Direction C, synthetic data or field data are to be used for the training and generation of standardized reference model. In case that there is a significant gap between synthetic data and field data, data distribution mismatch happens, which may potentially lead to unpredictable performance degradation in the fie</w:t>
      </w:r>
      <w:r>
        <w:rPr>
          <w:rFonts w:eastAsia="宋体"/>
          <w:iCs/>
          <w:color w:val="000000" w:themeColor="text1"/>
          <w14:textFill>
            <w14:solidFill>
              <w14:schemeClr w14:val="tx1"/>
            </w14:solidFill>
          </w14:textFill>
        </w:rPr>
        <w:t>l</w:t>
      </w:r>
      <w:r>
        <w:rPr>
          <w:rFonts w:hint="eastAsia" w:eastAsia="宋体"/>
          <w:iCs/>
          <w:color w:val="000000" w:themeColor="text1"/>
          <w14:textFill>
            <w14:solidFill>
              <w14:schemeClr w14:val="tx1"/>
            </w14:solidFill>
          </w14:textFill>
        </w:rPr>
        <w:t>d. Similarly, for directions A and B, the dataset generation methods (i.e., sy</w:t>
      </w:r>
      <w:r>
        <w:rPr>
          <w:rFonts w:eastAsia="宋体"/>
          <w:iCs/>
          <w:color w:val="000000" w:themeColor="text1"/>
          <w14:textFill>
            <w14:solidFill>
              <w14:schemeClr w14:val="tx1"/>
            </w14:solidFill>
          </w14:textFill>
        </w:rPr>
        <w:t>n</w:t>
      </w:r>
      <w:r>
        <w:rPr>
          <w:rFonts w:hint="eastAsia" w:eastAsia="宋体"/>
          <w:iCs/>
          <w:color w:val="000000" w:themeColor="text1"/>
          <w14:textFill>
            <w14:solidFill>
              <w14:schemeClr w14:val="tx1"/>
            </w14:solidFill>
          </w14:textFill>
        </w:rPr>
        <w:t>thetic data based on 3GPP</w:t>
      </w:r>
      <w:r>
        <w:rPr>
          <w:rFonts w:eastAsia="宋体"/>
          <w:iCs/>
          <w:color w:val="000000" w:themeColor="text1"/>
          <w14:textFill>
            <w14:solidFill>
              <w14:schemeClr w14:val="tx1"/>
            </w14:solidFill>
          </w14:textFill>
        </w:rPr>
        <w:t>’</w:t>
      </w:r>
      <w:r>
        <w:rPr>
          <w:rFonts w:hint="eastAsia" w:eastAsia="宋体"/>
          <w:iCs/>
          <w:color w:val="000000" w:themeColor="text1"/>
          <w14:textFill>
            <w14:solidFill>
              <w14:schemeClr w14:val="tx1"/>
            </w14:solidFill>
          </w14:textFill>
        </w:rPr>
        <w:t>s statistical channel or field data in the real world) should also be discussed and aligned for the generation of standardized reference model structure. Even though the model parameters can be generated in a more adaptive way using field data, performance degradation may still happen if the standardized reference model structure trained by synthetic data cannot match the real</w:t>
      </w:r>
      <w:r>
        <w:rPr>
          <w:rFonts w:eastAsia="宋体"/>
          <w:iCs/>
          <w:color w:val="000000" w:themeColor="text1"/>
          <w14:textFill>
            <w14:solidFill>
              <w14:schemeClr w14:val="tx1"/>
            </w14:solidFill>
          </w14:textFill>
        </w:rPr>
        <w:t>-</w:t>
      </w:r>
      <w:r>
        <w:rPr>
          <w:rFonts w:hint="eastAsia" w:eastAsia="宋体"/>
          <w:iCs/>
          <w:color w:val="000000" w:themeColor="text1"/>
          <w14:textFill>
            <w14:solidFill>
              <w14:schemeClr w14:val="tx1"/>
            </w14:solidFill>
          </w14:textFill>
        </w:rPr>
        <w:t>world environment.</w:t>
      </w:r>
    </w:p>
    <w:p>
      <w:pPr>
        <w:pStyle w:val="147"/>
        <w:snapToGrid w:val="0"/>
        <w:spacing w:before="72" w:after="72"/>
        <w:jc w:val="both"/>
        <w:rPr>
          <w:b w:val="0"/>
          <w:color w:val="000000" w:themeColor="text1"/>
          <w:szCs w:val="20"/>
          <w:lang w:val="en-US"/>
          <w14:textFill>
            <w14:solidFill>
              <w14:schemeClr w14:val="tx1"/>
            </w14:solidFill>
          </w14:textFill>
        </w:rPr>
      </w:pPr>
      <w:bookmarkStart w:id="11" w:name="_Hlk178349621"/>
      <w:r>
        <w:rPr>
          <w:rFonts w:hint="eastAsia"/>
          <w:b w:val="0"/>
          <w:color w:val="000000" w:themeColor="text1"/>
          <w:szCs w:val="20"/>
          <w:lang w:val="en-US"/>
          <w14:textFill>
            <w14:solidFill>
              <w14:schemeClr w14:val="tx1"/>
            </w14:solidFill>
          </w14:textFill>
        </w:rPr>
        <w:t>Issues 8 and 9 are also applicable to Directions A and B due to the standardization requirement of reference model structure.</w:t>
      </w:r>
      <w:bookmarkEnd w:id="11"/>
    </w:p>
    <w:p>
      <w:pPr>
        <w:widowControl w:val="0"/>
        <w:snapToGrid w:val="0"/>
        <w:spacing w:before="72" w:beforeLines="30" w:after="72" w:afterLines="30" w:line="288" w:lineRule="auto"/>
        <w:jc w:val="both"/>
        <w:rPr>
          <w:rFonts w:eastAsiaTheme="minorEastAsia"/>
          <w:i/>
          <w:color w:val="000000" w:themeColor="text1"/>
          <w14:textFill>
            <w14:solidFill>
              <w14:schemeClr w14:val="tx1"/>
            </w14:solidFill>
          </w14:textFill>
        </w:rPr>
      </w:pPr>
    </w:p>
    <w:p>
      <w:pPr>
        <w:numPr>
          <w:ilvl w:val="1"/>
          <w:numId w:val="10"/>
        </w:numPr>
        <w:adjustRightInd w:val="0"/>
        <w:snapToGrid w:val="0"/>
        <w:spacing w:before="72" w:beforeLines="30" w:after="72" w:afterLines="30" w:line="288" w:lineRule="auto"/>
        <w:jc w:val="both"/>
        <w:outlineLvl w:val="1"/>
        <w:rPr>
          <w:rFonts w:eastAsia="宋体"/>
          <w:i/>
          <w:iCs/>
          <w:color w:val="000000" w:themeColor="text1"/>
          <w:szCs w:val="20"/>
          <w:lang w:val="en-GB"/>
          <w14:textFill>
            <w14:solidFill>
              <w14:schemeClr w14:val="tx1"/>
            </w14:solidFill>
          </w14:textFill>
        </w:rPr>
      </w:pPr>
      <w:r>
        <w:rPr>
          <w:rFonts w:hint="eastAsia" w:eastAsia="宋体"/>
          <w:b/>
          <w:color w:val="000000" w:themeColor="text1"/>
          <w:sz w:val="22"/>
          <w14:textFill>
            <w14:solidFill>
              <w14:schemeClr w14:val="tx1"/>
            </w14:solidFill>
          </w14:textFill>
        </w:rPr>
        <w:t>Model structure specification feasibility and scalability</w:t>
      </w:r>
      <w:bookmarkStart w:id="12" w:name="_Hlk178357108"/>
      <w:bookmarkStart w:id="13" w:name="_Hlk178279453"/>
    </w:p>
    <w:p>
      <w:pPr>
        <w:numPr>
          <w:ilvl w:val="2"/>
          <w:numId w:val="10"/>
        </w:numPr>
        <w:adjustRightInd w:val="0"/>
        <w:snapToGrid w:val="0"/>
        <w:spacing w:before="72" w:beforeLines="30" w:after="72" w:afterLines="30" w:line="288" w:lineRule="auto"/>
        <w:jc w:val="both"/>
        <w:outlineLvl w:val="2"/>
        <w:rPr>
          <w:rFonts w:eastAsia="宋体"/>
          <w:i/>
          <w:iCs/>
          <w:color w:val="000000" w:themeColor="text1"/>
          <w:szCs w:val="20"/>
          <w:lang w:val="en-GB"/>
          <w14:textFill>
            <w14:solidFill>
              <w14:schemeClr w14:val="tx1"/>
            </w14:solidFill>
          </w14:textFill>
        </w:rPr>
      </w:pPr>
      <w:r>
        <w:rPr>
          <w:rFonts w:hint="eastAsia" w:eastAsia="宋体"/>
          <w:b/>
          <w:color w:val="000000" w:themeColor="text1"/>
          <w:sz w:val="21"/>
          <w:szCs w:val="21"/>
          <w14:textFill>
            <w14:solidFill>
              <w14:schemeClr w14:val="tx1"/>
            </w14:solidFill>
          </w14:textFill>
        </w:rPr>
        <w:t>M</w:t>
      </w:r>
      <w:r>
        <w:rPr>
          <w:rFonts w:hint="eastAsia" w:eastAsia="宋体"/>
          <w:b/>
          <w:color w:val="000000" w:themeColor="text1"/>
          <w:sz w:val="21"/>
          <w:szCs w:val="21"/>
          <w:lang w:val="en-GB" w:eastAsia="en-US"/>
          <w14:textFill>
            <w14:solidFill>
              <w14:schemeClr w14:val="tx1"/>
            </w14:solidFill>
          </w14:textFill>
        </w:rPr>
        <w:t>odel structure specification</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In RAN1#120 meeting, it was agreed that </w:t>
      </w:r>
      <w:r>
        <w:rPr>
          <w:color w:val="000000" w:themeColor="text1"/>
          <w14:textFill>
            <w14:solidFill>
              <w14:schemeClr w14:val="tx1"/>
            </w14:solidFill>
          </w14:textFill>
        </w:rPr>
        <w:t xml:space="preserve">the specified </w:t>
      </w:r>
      <w:r>
        <w:rPr>
          <w:color w:val="000000" w:themeColor="text1"/>
          <w:lang w:val="en-GB" w:eastAsia="en-US"/>
          <w14:textFill>
            <w14:solidFill>
              <w14:schemeClr w14:val="tx1"/>
            </w14:solidFill>
          </w14:textFill>
        </w:rPr>
        <w:t xml:space="preserve">reference </w:t>
      </w:r>
      <w:r>
        <w:rPr>
          <w:color w:val="000000" w:themeColor="text1"/>
          <w14:textFill>
            <w14:solidFill>
              <w14:schemeClr w14:val="tx1"/>
            </w14:solidFill>
          </w14:textFill>
        </w:rPr>
        <w:t xml:space="preserve">model in Direction C is </w:t>
      </w:r>
      <w:r>
        <w:rPr>
          <w:color w:val="000000" w:themeColor="text1"/>
          <w:lang w:val="en-GB"/>
          <w14:textFill>
            <w14:solidFill>
              <w14:schemeClr w14:val="tx1"/>
            </w14:solidFill>
          </w14:textFill>
        </w:rPr>
        <w:t>assumed to be</w:t>
      </w:r>
      <w:r>
        <w:rPr>
          <w:color w:val="000000" w:themeColor="text1"/>
          <w:lang w:val="en-GB" w:eastAsia="en-US"/>
          <w14:textFill>
            <w14:solidFill>
              <w14:schemeClr w14:val="tx1"/>
            </w14:solidFill>
          </w14:textFill>
        </w:rPr>
        <w:t xml:space="preserve"> </w:t>
      </w:r>
      <w:r>
        <w:rPr>
          <w:color w:val="000000" w:themeColor="text1"/>
          <w:lang w:val="en-GB"/>
          <w14:textFill>
            <w14:solidFill>
              <w14:schemeClr w14:val="tx1"/>
            </w14:solidFill>
          </w14:textFill>
        </w:rPr>
        <w:t xml:space="preserve">equivalent to </w:t>
      </w:r>
      <w:r>
        <w:rPr>
          <w:color w:val="000000" w:themeColor="text1"/>
          <w:lang w:val="en-GB" w:eastAsia="en-US"/>
          <w14:textFill>
            <w14:solidFill>
              <w14:schemeClr w14:val="tx1"/>
            </w14:solidFill>
          </w14:textFill>
        </w:rPr>
        <w:t xml:space="preserve">the </w:t>
      </w:r>
      <w:r>
        <w:rPr>
          <w:color w:val="000000" w:themeColor="text1"/>
          <w:lang w:val="en-GB"/>
          <w14:textFill>
            <w14:solidFill>
              <w14:schemeClr w14:val="tx1"/>
            </w14:solidFill>
          </w14:textFill>
        </w:rPr>
        <w:t>to-be-</w:t>
      </w:r>
      <w:r>
        <w:rPr>
          <w:color w:val="000000" w:themeColor="text1"/>
          <w:lang w:val="en-GB" w:eastAsia="en-US"/>
          <w14:textFill>
            <w14:solidFill>
              <w14:schemeClr w14:val="tx1"/>
            </w14:solidFill>
          </w14:textFill>
        </w:rPr>
        <w:t>specified model</w:t>
      </w:r>
      <w:r>
        <w:rPr>
          <w:color w:val="000000" w:themeColor="text1"/>
          <w:lang w:val="en-GB"/>
          <w14:textFill>
            <w14:solidFill>
              <w14:schemeClr w14:val="tx1"/>
            </w14:solidFill>
          </w14:textFill>
        </w:rPr>
        <w:t>, if specified,</w:t>
      </w:r>
      <w:r>
        <w:rPr>
          <w:color w:val="000000" w:themeColor="text1"/>
          <w:lang w:val="en-GB" w:eastAsia="en-US"/>
          <w14:textFill>
            <w14:solidFill>
              <w14:schemeClr w14:val="tx1"/>
            </w14:solidFill>
          </w14:textFill>
        </w:rPr>
        <w:t xml:space="preserve"> </w:t>
      </w:r>
      <w:r>
        <w:rPr>
          <w:color w:val="000000" w:themeColor="text1"/>
          <w:lang w:val="en-GB"/>
          <w14:textFill>
            <w14:solidFill>
              <w14:schemeClr w14:val="tx1"/>
            </w14:solidFill>
          </w14:textFill>
        </w:rPr>
        <w:t xml:space="preserve">for </w:t>
      </w:r>
      <w:r>
        <w:rPr>
          <w:color w:val="000000" w:themeColor="text1"/>
          <w:lang w:val="en-GB" w:eastAsia="en-US"/>
          <w14:textFill>
            <w14:solidFill>
              <w14:schemeClr w14:val="tx1"/>
            </w14:solidFill>
          </w14:textFill>
        </w:rPr>
        <w:t xml:space="preserve">performance </w:t>
      </w:r>
      <w:r>
        <w:rPr>
          <w:color w:val="000000" w:themeColor="text1"/>
          <w:lang w:val="en-GB"/>
          <w14:textFill>
            <w14:solidFill>
              <w14:schemeClr w14:val="tx1"/>
            </w14:solidFill>
          </w14:textFill>
        </w:rPr>
        <w:t>requirements in</w:t>
      </w:r>
      <w:r>
        <w:rPr>
          <w:color w:val="000000" w:themeColor="text1"/>
          <w:lang w:val="en-GB" w:eastAsia="en-US"/>
          <w14:textFill>
            <w14:solidFill>
              <w14:schemeClr w14:val="tx1"/>
            </w14:solidFill>
          </w14:textFill>
        </w:rPr>
        <w:t xml:space="preserve"> RAN4</w:t>
      </w:r>
      <w:r>
        <w:rPr>
          <w:rFonts w:hint="eastAsia"/>
          <w:color w:val="000000" w:themeColor="text1"/>
          <w14:textFill>
            <w14:solidFill>
              <w14:schemeClr w14:val="tx1"/>
            </w14:solidFill>
          </w14:textFill>
        </w:rPr>
        <w:t>. Then, one remaining issue is that for Direction A Option 3a-1, whether the reference model structure is specified in RAN1 or assumed to be the same as that to be specified by RAN4 in working phase.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宋体"/>
                <w:b/>
                <w:color w:val="000000" w:themeColor="text1"/>
                <w:lang w:val="en-GB"/>
                <w14:textFill>
                  <w14:solidFill>
                    <w14:schemeClr w14:val="tx1"/>
                  </w14:solidFill>
                </w14:textFill>
              </w:rPr>
            </w:pPr>
            <w:r>
              <w:rPr>
                <w:rFonts w:eastAsia="宋体"/>
                <w:b/>
                <w:color w:val="000000" w:themeColor="text1"/>
                <w:lang w:val="en-GB"/>
                <w14:textFill>
                  <w14:solidFill>
                    <w14:schemeClr w14:val="tx1"/>
                  </w14:solidFill>
                </w14:textFill>
              </w:rPr>
              <w:t>Conclusion</w:t>
            </w:r>
          </w:p>
          <w:p>
            <w:pPr>
              <w:numPr>
                <w:ilvl w:val="0"/>
                <w:numId w:val="23"/>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000000" w:themeColor="text1"/>
                <w:szCs w:val="20"/>
                <w:lang w:val="en-GB" w:eastAsia="en-US"/>
                <w14:textFill>
                  <w14:solidFill>
                    <w14:schemeClr w14:val="tx1"/>
                  </w14:solidFill>
                </w14:textFill>
              </w:rPr>
            </w:pPr>
            <w:r>
              <w:rPr>
                <w:rFonts w:eastAsia="宋体"/>
                <w:bCs/>
                <w:iCs/>
                <w:color w:val="000000" w:themeColor="text1"/>
                <w:szCs w:val="20"/>
                <w:lang w:val="en-GB" w:eastAsia="en-US"/>
                <w14:textFill>
                  <w14:solidFill>
                    <w14:schemeClr w14:val="tx1"/>
                  </w14:solidFill>
                </w14:textFill>
              </w:rPr>
              <w:t xml:space="preserve">Direction C with standardized model ensures a minimum performance requirement. </w:t>
            </w:r>
          </w:p>
          <w:p>
            <w:pPr>
              <w:numPr>
                <w:ilvl w:val="1"/>
                <w:numId w:val="23"/>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i/>
                <w:iCs/>
                <w:color w:val="000000" w:themeColor="text1"/>
                <w:szCs w:val="20"/>
                <w14:textFill>
                  <w14:solidFill>
                    <w14:schemeClr w14:val="tx1"/>
                  </w14:solidFill>
                </w14:textFill>
              </w:rPr>
            </w:pPr>
            <w:r>
              <w:rPr>
                <w:rFonts w:eastAsia="宋体"/>
                <w:bCs/>
                <w:iCs/>
                <w:color w:val="000000" w:themeColor="text1"/>
                <w:szCs w:val="20"/>
                <w:lang w:val="en-GB" w:eastAsia="en-US"/>
                <w14:textFill>
                  <w14:solidFill>
                    <w14:schemeClr w14:val="tx1"/>
                  </w14:solidFill>
                </w14:textFill>
              </w:rPr>
              <w:t xml:space="preserve">The </w:t>
            </w:r>
            <w:r>
              <w:rPr>
                <w:rFonts w:eastAsia="宋体"/>
                <w:bCs/>
                <w:iCs/>
                <w:color w:val="000000" w:themeColor="text1"/>
                <w:szCs w:val="20"/>
                <w:lang w:val="en-GB"/>
                <w14:textFill>
                  <w14:solidFill>
                    <w14:schemeClr w14:val="tx1"/>
                  </w14:solidFill>
                </w14:textFill>
              </w:rPr>
              <w:t xml:space="preserve">so called </w:t>
            </w:r>
            <w:r>
              <w:rPr>
                <w:rFonts w:eastAsia="宋体"/>
                <w:bCs/>
                <w:iCs/>
                <w:color w:val="000000" w:themeColor="text1"/>
                <w:szCs w:val="20"/>
                <w:lang w:val="en-GB" w:eastAsia="en-US"/>
                <w14:textFill>
                  <w14:solidFill>
                    <w14:schemeClr w14:val="tx1"/>
                  </w14:solidFill>
                </w14:textFill>
              </w:rPr>
              <w:t xml:space="preserve">fully specified reference model </w:t>
            </w:r>
            <w:r>
              <w:rPr>
                <w:rFonts w:eastAsia="宋体"/>
                <w:bCs/>
                <w:iCs/>
                <w:color w:val="000000" w:themeColor="text1"/>
                <w:szCs w:val="20"/>
                <w:lang w:val="en-GB"/>
                <w14:textFill>
                  <w14:solidFill>
                    <w14:schemeClr w14:val="tx1"/>
                  </w14:solidFill>
                </w14:textFill>
              </w:rPr>
              <w:t xml:space="preserve">discussed in RAN1 </w:t>
            </w:r>
            <w:r>
              <w:rPr>
                <w:rFonts w:eastAsia="宋体"/>
                <w:bCs/>
                <w:iCs/>
                <w:color w:val="000000" w:themeColor="text1"/>
                <w:szCs w:val="20"/>
                <w:lang w:val="en-GB" w:eastAsia="en-US"/>
                <w14:textFill>
                  <w14:solidFill>
                    <w14:schemeClr w14:val="tx1"/>
                  </w14:solidFill>
                </w14:textFill>
              </w:rPr>
              <w:t>for Direction C is</w:t>
            </w:r>
            <w:r>
              <w:rPr>
                <w:rFonts w:eastAsia="宋体"/>
                <w:bCs/>
                <w:iCs/>
                <w:color w:val="000000" w:themeColor="text1"/>
                <w:szCs w:val="20"/>
                <w:lang w:val="en-GB"/>
                <w14:textFill>
                  <w14:solidFill>
                    <w14:schemeClr w14:val="tx1"/>
                  </w14:solidFill>
                </w14:textFill>
              </w:rPr>
              <w:t xml:space="preserve"> assumed to be</w:t>
            </w:r>
            <w:r>
              <w:rPr>
                <w:rFonts w:eastAsia="宋体"/>
                <w:bCs/>
                <w:iCs/>
                <w:color w:val="000000" w:themeColor="text1"/>
                <w:szCs w:val="20"/>
                <w:lang w:val="en-GB" w:eastAsia="en-US"/>
                <w14:textFill>
                  <w14:solidFill>
                    <w14:schemeClr w14:val="tx1"/>
                  </w14:solidFill>
                </w14:textFill>
              </w:rPr>
              <w:t xml:space="preserve"> </w:t>
            </w:r>
            <w:r>
              <w:rPr>
                <w:rFonts w:eastAsia="宋体"/>
                <w:bCs/>
                <w:iCs/>
                <w:color w:val="000000" w:themeColor="text1"/>
                <w:szCs w:val="20"/>
                <w:lang w:val="en-GB"/>
                <w14:textFill>
                  <w14:solidFill>
                    <w14:schemeClr w14:val="tx1"/>
                  </w14:solidFill>
                </w14:textFill>
              </w:rPr>
              <w:t xml:space="preserve">equivalent to </w:t>
            </w:r>
            <w:r>
              <w:rPr>
                <w:rFonts w:eastAsia="宋体"/>
                <w:bCs/>
                <w:iCs/>
                <w:color w:val="000000" w:themeColor="text1"/>
                <w:szCs w:val="20"/>
                <w:lang w:val="en-GB" w:eastAsia="en-US"/>
                <w14:textFill>
                  <w14:solidFill>
                    <w14:schemeClr w14:val="tx1"/>
                  </w14:solidFill>
                </w14:textFill>
              </w:rPr>
              <w:t xml:space="preserve">the </w:t>
            </w:r>
            <w:r>
              <w:rPr>
                <w:rFonts w:eastAsia="宋体"/>
                <w:bCs/>
                <w:iCs/>
                <w:color w:val="000000" w:themeColor="text1"/>
                <w:szCs w:val="20"/>
                <w:lang w:val="en-GB"/>
                <w14:textFill>
                  <w14:solidFill>
                    <w14:schemeClr w14:val="tx1"/>
                  </w14:solidFill>
                </w14:textFill>
              </w:rPr>
              <w:t>to-be-</w:t>
            </w:r>
            <w:r>
              <w:rPr>
                <w:rFonts w:eastAsia="宋体"/>
                <w:bCs/>
                <w:iCs/>
                <w:color w:val="000000" w:themeColor="text1"/>
                <w:szCs w:val="20"/>
                <w:lang w:val="en-GB" w:eastAsia="en-US"/>
                <w14:textFill>
                  <w14:solidFill>
                    <w14:schemeClr w14:val="tx1"/>
                  </w14:solidFill>
                </w14:textFill>
              </w:rPr>
              <w:t>specified model</w:t>
            </w:r>
            <w:r>
              <w:rPr>
                <w:rFonts w:eastAsia="宋体"/>
                <w:bCs/>
                <w:iCs/>
                <w:color w:val="000000" w:themeColor="text1"/>
                <w:szCs w:val="20"/>
                <w:lang w:val="en-GB"/>
                <w14:textFill>
                  <w14:solidFill>
                    <w14:schemeClr w14:val="tx1"/>
                  </w14:solidFill>
                </w14:textFill>
              </w:rPr>
              <w:t>, if specified,</w:t>
            </w:r>
            <w:r>
              <w:rPr>
                <w:rFonts w:eastAsia="宋体"/>
                <w:bCs/>
                <w:iCs/>
                <w:color w:val="000000" w:themeColor="text1"/>
                <w:szCs w:val="20"/>
                <w:lang w:val="en-GB" w:eastAsia="en-US"/>
                <w14:textFill>
                  <w14:solidFill>
                    <w14:schemeClr w14:val="tx1"/>
                  </w14:solidFill>
                </w14:textFill>
              </w:rPr>
              <w:t xml:space="preserve"> </w:t>
            </w:r>
            <w:r>
              <w:rPr>
                <w:rFonts w:eastAsia="宋体"/>
                <w:bCs/>
                <w:iCs/>
                <w:color w:val="000000" w:themeColor="text1"/>
                <w:szCs w:val="20"/>
                <w:lang w:val="en-GB"/>
                <w14:textFill>
                  <w14:solidFill>
                    <w14:schemeClr w14:val="tx1"/>
                  </w14:solidFill>
                </w14:textFill>
              </w:rPr>
              <w:t xml:space="preserve">for </w:t>
            </w:r>
            <w:r>
              <w:rPr>
                <w:rFonts w:eastAsia="宋体"/>
                <w:bCs/>
                <w:iCs/>
                <w:color w:val="000000" w:themeColor="text1"/>
                <w:szCs w:val="20"/>
                <w:lang w:val="en-GB" w:eastAsia="en-US"/>
                <w14:textFill>
                  <w14:solidFill>
                    <w14:schemeClr w14:val="tx1"/>
                  </w14:solidFill>
                </w14:textFill>
              </w:rPr>
              <w:t xml:space="preserve">performance </w:t>
            </w:r>
            <w:r>
              <w:rPr>
                <w:rFonts w:eastAsia="宋体"/>
                <w:bCs/>
                <w:iCs/>
                <w:color w:val="000000" w:themeColor="text1"/>
                <w:szCs w:val="20"/>
                <w:lang w:val="en-GB"/>
                <w14:textFill>
                  <w14:solidFill>
                    <w14:schemeClr w14:val="tx1"/>
                  </w14:solidFill>
                </w14:textFill>
              </w:rPr>
              <w:t>requirements in</w:t>
            </w:r>
            <w:r>
              <w:rPr>
                <w:rFonts w:eastAsia="宋体"/>
                <w:bCs/>
                <w:iCs/>
                <w:color w:val="000000" w:themeColor="text1"/>
                <w:szCs w:val="20"/>
                <w:lang w:val="en-GB" w:eastAsia="en-US"/>
                <w14:textFill>
                  <w14:solidFill>
                    <w14:schemeClr w14:val="tx1"/>
                  </w14:solidFill>
                </w14:textFill>
              </w:rPr>
              <w:t xml:space="preserve"> RAN4.</w:t>
            </w:r>
          </w:p>
          <w:p>
            <w:pPr>
              <w:numPr>
                <w:ilvl w:val="0"/>
                <w:numId w:val="23"/>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i/>
                <w:iCs/>
                <w:color w:val="000000" w:themeColor="text1"/>
                <w:szCs w:val="20"/>
                <w14:textFill>
                  <w14:solidFill>
                    <w14:schemeClr w14:val="tx1"/>
                  </w14:solidFill>
                </w14:textFill>
              </w:rPr>
            </w:pPr>
            <w:r>
              <w:rPr>
                <w:rFonts w:eastAsia="宋体"/>
                <w:bCs/>
                <w:iCs/>
                <w:color w:val="000000" w:themeColor="text1"/>
                <w:szCs w:val="20"/>
                <w:lang w:val="en-GB" w:eastAsia="en-US"/>
                <w14:textFill>
                  <w14:solidFill>
                    <w14:schemeClr w14:val="tx1"/>
                  </w14:solidFill>
                </w14:textFill>
              </w:rPr>
              <w:t>Direction A with standardized model parameter / dataset exchange from NW-side to UE-side may achieve</w:t>
            </w:r>
            <w:r>
              <w:rPr>
                <w:rFonts w:hint="eastAsia" w:eastAsia="宋体"/>
                <w:bCs/>
                <w:iCs/>
                <w:color w:val="000000" w:themeColor="text1"/>
                <w:szCs w:val="20"/>
                <w14:textFill>
                  <w14:solidFill>
                    <w14:schemeClr w14:val="tx1"/>
                  </w14:solidFill>
                </w14:textFill>
              </w:rPr>
              <w:t xml:space="preserve"> </w:t>
            </w:r>
            <w:r>
              <w:rPr>
                <w:rFonts w:eastAsia="宋体"/>
                <w:bCs/>
                <w:iCs/>
                <w:color w:val="000000" w:themeColor="text1"/>
                <w:szCs w:val="20"/>
                <w:lang w:val="en-GB" w:eastAsia="en-US"/>
                <w14:textFill>
                  <w14:solidFill>
                    <w14:schemeClr w14:val="tx1"/>
                  </w14:solidFill>
                </w14:textFill>
              </w:rPr>
              <w:t>better performance.</w:t>
            </w:r>
          </w:p>
        </w:tc>
      </w:tr>
      <w:bookmarkEnd w:id="12"/>
      <w:bookmarkEnd w:id="13"/>
    </w:tbl>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noted that RAN4 has been studying test model and reference model since Rel-19 started, and two-sided model test framework is considered as a starting point. So far, RAN4 has achieved insightful progress on a series of issues, such as the parallel study on details of standardizing a test decoder (Option 3) and partially standardizing a test decoder (Option 4) and corresponding performance calibration work on a CNN-based reference model. However, RAN4 is not targeting to only specify a CNN-based model for determining minimum testing requirements, since CNN-based model structure is relatively simple and it is convenient for companies to cross-check the reference model performance and further pave a way for standardization and testing on other complicated model structures with better performance, e.g., Transformer. Therefore, it is natural to further standardize an appropriate reference model structure with Transformer backbone in RAN4 referring to the RAN1 requirements (i.e., the same standardized reference model structure is introduced to RAN1 and RAN4), which avoid the duplicated specification efforts between RAN1 and RAN4. Besides, the impact on the inference performance is mainly due to the trained model parameters if a proper model backbone with a set of typical hyper-parameters is adopted, since the derived model parameters are strongly correlated to the training dataset, which can implicitly reflect the practical channel environment. For example, a set of cell-specific model parameters can further improve the accuracy of reconstructed CSI based on the outcomes from CSI compression agenda in Rel-19, even if a simple Transformer structure is applied in evaluation. Therefore, we propose that the standardization on the reference model structure can be further studied in RAN4 group, which is aligned with RAN1 requirements.</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r>
        <w:rPr>
          <w:rFonts w:hint="eastAsia"/>
          <w:bCs w:val="0"/>
          <w:color w:val="000000" w:themeColor="text1"/>
          <w:szCs w:val="20"/>
          <w:lang w:val="en-US"/>
          <w14:textFill>
            <w14:solidFill>
              <w14:schemeClr w14:val="tx1"/>
            </w14:solidFill>
          </w14:textFill>
        </w:rPr>
        <w:t xml:space="preserve">Observation </w:t>
      </w:r>
      <w:r>
        <w:rPr>
          <w:rFonts w:hint="eastAsia"/>
          <w:bCs w:val="0"/>
          <w:color w:val="000000" w:themeColor="text1"/>
          <w:szCs w:val="20"/>
          <w:lang w:val="en-US" w:eastAsia="zh-CN"/>
          <w14:textFill>
            <w14:solidFill>
              <w14:schemeClr w14:val="tx1"/>
            </w14:solidFill>
          </w14:textFill>
        </w:rPr>
        <w:t>7</w:t>
      </w:r>
      <w:r>
        <w:rPr>
          <w:rFonts w:hint="eastAsia"/>
          <w:bCs w:val="0"/>
          <w:color w:val="000000" w:themeColor="text1"/>
          <w:szCs w:val="20"/>
          <w:lang w:val="en-US"/>
          <w14:textFill>
            <w14:solidFill>
              <w14:schemeClr w14:val="tx1"/>
            </w14:solidFill>
          </w14:textFill>
        </w:rPr>
        <w:t xml:space="preserve">: </w:t>
      </w:r>
      <w:r>
        <w:rPr>
          <w:rFonts w:hint="eastAsia"/>
          <w:b w:val="0"/>
          <w:color w:val="000000" w:themeColor="text1"/>
          <w:szCs w:val="20"/>
          <w:lang w:val="en-US"/>
          <w14:textFill>
            <w14:solidFill>
              <w14:schemeClr w14:val="tx1"/>
            </w14:solidFill>
          </w14:textFill>
        </w:rPr>
        <w:t>If a proper model structure with a set of typical hyper-parameters is standardized, the impact on the inference performance is mainly due to the trained model parameters.</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RAN1 and RAN4 can share the same standardized model structure for two-sided model of CSI compression to avoid the duplicated specification efforts, where the detailed specification and testing can be up to RAN4 study.</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The so</w:t>
      </w:r>
      <w:r>
        <w:rPr>
          <w:b w:val="0"/>
          <w:color w:val="000000" w:themeColor="text1"/>
          <w:szCs w:val="20"/>
          <w:lang w:val="en-US"/>
          <w14:textFill>
            <w14:solidFill>
              <w14:schemeClr w14:val="tx1"/>
            </w14:solidFill>
          </w14:textFill>
        </w:rPr>
        <w:t>-</w:t>
      </w:r>
      <w:r>
        <w:rPr>
          <w:rFonts w:hint="eastAsia"/>
          <w:b w:val="0"/>
          <w:color w:val="000000" w:themeColor="text1"/>
          <w:szCs w:val="20"/>
          <w:lang w:val="en-US"/>
          <w14:textFill>
            <w14:solidFill>
              <w14:schemeClr w14:val="tx1"/>
            </w14:solidFill>
          </w14:textFill>
        </w:rPr>
        <w:t>called standardized reference model structure discussed in RAN1 for Direction A Option 3a-1 is assumed to be equivalent to the to-be-specified model structure, if specified, for performance requirements in RAN4.</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p>
      <w:pPr>
        <w:numPr>
          <w:ilvl w:val="2"/>
          <w:numId w:val="10"/>
        </w:numPr>
        <w:adjustRightInd w:val="0"/>
        <w:snapToGrid w:val="0"/>
        <w:spacing w:before="72" w:beforeLines="30" w:after="72" w:afterLines="30" w:line="288" w:lineRule="auto"/>
        <w:jc w:val="both"/>
        <w:outlineLvl w:val="2"/>
        <w:rPr>
          <w:rFonts w:eastAsia="宋体"/>
          <w:b/>
          <w:color w:val="000000" w:themeColor="text1"/>
          <w:sz w:val="21"/>
          <w:szCs w:val="21"/>
          <w:lang w:val="en-GB" w:eastAsia="en-US"/>
          <w14:textFill>
            <w14:solidFill>
              <w14:schemeClr w14:val="tx1"/>
            </w14:solidFill>
          </w14:textFill>
        </w:rPr>
      </w:pPr>
      <w:r>
        <w:rPr>
          <w:rFonts w:hint="eastAsia" w:eastAsia="宋体"/>
          <w:b/>
          <w:color w:val="000000" w:themeColor="text1"/>
          <w:sz w:val="21"/>
          <w:szCs w:val="21"/>
          <w14:textFill>
            <w14:solidFill>
              <w14:schemeClr w14:val="tx1"/>
            </w14:solidFill>
          </w14:textFill>
        </w:rPr>
        <w:t>M</w:t>
      </w:r>
      <w:r>
        <w:rPr>
          <w:rFonts w:hint="eastAsia" w:eastAsia="宋体"/>
          <w:b/>
          <w:color w:val="000000" w:themeColor="text1"/>
          <w:sz w:val="21"/>
          <w:szCs w:val="21"/>
          <w:lang w:val="en-GB" w:eastAsia="en-US"/>
          <w14:textFill>
            <w14:solidFill>
              <w14:schemeClr w14:val="tx1"/>
            </w14:solidFill>
          </w14:textFill>
        </w:rPr>
        <w:t xml:space="preserve">odel structure </w:t>
      </w:r>
      <w:r>
        <w:rPr>
          <w:rFonts w:hint="eastAsia" w:eastAsia="宋体"/>
          <w:b/>
          <w:color w:val="000000" w:themeColor="text1"/>
          <w:sz w:val="21"/>
          <w:szCs w:val="21"/>
          <w14:textFill>
            <w14:solidFill>
              <w14:schemeClr w14:val="tx1"/>
            </w14:solidFill>
          </w14:textFill>
        </w:rPr>
        <w:t>scalability</w:t>
      </w:r>
    </w:p>
    <w:p>
      <w:pPr>
        <w:adjustRightInd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In RAN1#120 meeting, the following agreement was reached for </w:t>
      </w:r>
      <w:r>
        <w:rPr>
          <w:rFonts w:eastAsia="Times New Roman"/>
          <w:color w:val="000000" w:themeColor="text1"/>
          <w:szCs w:val="20"/>
          <w:lang w:val="en-GB" w:eastAsia="en-US"/>
          <w14:textFill>
            <w14:solidFill>
              <w14:schemeClr w14:val="tx1"/>
            </w14:solidFill>
          </w14:textFill>
        </w:rPr>
        <w:t>model structure scalability study for temporal domain Case 0</w:t>
      </w:r>
      <w:r>
        <w:rPr>
          <w:rFonts w:eastAsia="宋体"/>
          <w:color w:val="000000" w:themeColor="text1"/>
          <w:szCs w:val="20"/>
          <w14:textFill>
            <w14:solidFill>
              <w14:schemeClr w14:val="tx1"/>
            </w14:solidFill>
          </w14:textFill>
        </w:rPr>
        <w:t xml:space="preserve">. Companies </w:t>
      </w:r>
      <w:r>
        <w:rPr>
          <w:rFonts w:hint="eastAsia" w:eastAsia="宋体"/>
          <w:color w:val="000000" w:themeColor="text1"/>
          <w:szCs w:val="20"/>
          <w14:textFill>
            <w14:solidFill>
              <w14:schemeClr w14:val="tx1"/>
            </w14:solidFill>
          </w14:textFill>
        </w:rPr>
        <w:t xml:space="preserve">have different </w:t>
      </w:r>
      <w:r>
        <w:rPr>
          <w:rFonts w:eastAsia="宋体"/>
          <w:color w:val="000000" w:themeColor="text1"/>
          <w:szCs w:val="20"/>
          <w14:textFill>
            <w14:solidFill>
              <w14:schemeClr w14:val="tx1"/>
            </w14:solidFill>
          </w14:textFill>
        </w:rPr>
        <w:t xml:space="preserve">flavors on the scalability design over the </w:t>
      </w:r>
      <w:r>
        <w:rPr>
          <w:rFonts w:eastAsia="宋体"/>
          <w:color w:val="000000" w:themeColor="text1"/>
          <w:szCs w:val="20"/>
          <w:lang w:val="en-GB"/>
          <w14:textFill>
            <w14:solidFill>
              <w14:schemeClr w14:val="tx1"/>
            </w14:solidFill>
          </w14:textFill>
        </w:rPr>
        <w:t xml:space="preserve">number of Tx ports, CSI feedback payload size, </w:t>
      </w:r>
      <w:r>
        <w:rPr>
          <w:rFonts w:eastAsia="宋体"/>
          <w:color w:val="000000" w:themeColor="text1"/>
          <w:szCs w:val="20"/>
          <w14:textFill>
            <w14:solidFill>
              <w14:schemeClr w14:val="tx1"/>
            </w14:solidFill>
          </w14:textFill>
        </w:rPr>
        <w:t xml:space="preserve">and </w:t>
      </w:r>
      <w:r>
        <w:rPr>
          <w:rFonts w:eastAsia="宋体"/>
          <w:color w:val="000000" w:themeColor="text1"/>
          <w:szCs w:val="20"/>
          <w:lang w:val="en-GB"/>
          <w14:textFill>
            <w14:solidFill>
              <w14:schemeClr w14:val="tx1"/>
            </w14:solidFill>
          </w14:textFill>
        </w:rPr>
        <w:t>bandwidth</w:t>
      </w:r>
      <w:r>
        <w:rPr>
          <w:rFonts w:eastAsia="宋体"/>
          <w:color w:val="000000" w:themeColor="text1"/>
          <w:szCs w:val="20"/>
          <w14:textFill>
            <w14:solidFill>
              <w14:schemeClr w14:val="tx1"/>
            </w14:solidFill>
          </w14:textFill>
        </w:rPr>
        <w:t>.</w:t>
      </w:r>
      <w:r>
        <w:rPr>
          <w:rFonts w:hint="eastAsia" w:eastAsia="宋体"/>
          <w:color w:val="000000" w:themeColor="text1"/>
          <w:szCs w:val="20"/>
          <w14:textFill>
            <w14:solidFill>
              <w14:schemeClr w14:val="tx1"/>
            </w14:solidFill>
          </w14:textFill>
        </w:rPr>
        <w:t xml:space="preserve"> An appropriate scalable model design can reduce workload for companies to calibrate the evaluation performance, and thus the trade-off between performance and implementation complexity (e.g., model complexity and processing complexity) should be carefully considered.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宋体"/>
                <w:b/>
                <w:color w:val="000000" w:themeColor="text1"/>
                <w:lang w:val="en-GB"/>
                <w14:textFill>
                  <w14:solidFill>
                    <w14:schemeClr w14:val="tx1"/>
                  </w14:solidFill>
                </w14:textFill>
              </w:rPr>
            </w:pPr>
            <w:r>
              <w:rPr>
                <w:rFonts w:eastAsia="宋体"/>
                <w:b/>
                <w:color w:val="000000" w:themeColor="text1"/>
                <w:lang w:val="en-GB"/>
                <w14:textFill>
                  <w14:solidFill>
                    <w14:schemeClr w14:val="tx1"/>
                  </w14:solidFill>
                </w14:textFill>
              </w:rPr>
              <w:t>Agreement</w:t>
            </w:r>
          </w:p>
          <w:p>
            <w:pPr>
              <w:overflowPunct w:val="0"/>
              <w:autoSpaceDE w:val="0"/>
              <w:autoSpaceDN w:val="0"/>
              <w:adjustRightInd w:val="0"/>
              <w:snapToGrid w:val="0"/>
              <w:spacing w:before="72" w:beforeLines="30" w:after="72" w:afterLines="30" w:line="288" w:lineRule="auto"/>
              <w:jc w:val="both"/>
              <w:textAlignment w:val="baseline"/>
              <w:rPr>
                <w:rFonts w:eastAsia="Times New Roman"/>
                <w:color w:val="000000" w:themeColor="text1"/>
                <w:szCs w:val="20"/>
                <w:lang w:val="en-GB" w:eastAsia="en-US"/>
                <w14:textFill>
                  <w14:solidFill>
                    <w14:schemeClr w14:val="tx1"/>
                  </w14:solidFill>
                </w14:textFill>
              </w:rPr>
            </w:pPr>
            <w:bookmarkStart w:id="14" w:name="_Hlk190955173"/>
            <w:r>
              <w:rPr>
                <w:rFonts w:eastAsia="Times New Roman"/>
                <w:color w:val="000000" w:themeColor="text1"/>
                <w:szCs w:val="20"/>
                <w:lang w:val="en-GB" w:eastAsia="en-US"/>
                <w14:textFill>
                  <w14:solidFill>
                    <w14:schemeClr w14:val="tx1"/>
                  </w14:solidFill>
                </w14:textFill>
              </w:rPr>
              <w:t>For model structure scalability study for temporal domain Case 0,</w:t>
            </w:r>
          </w:p>
          <w:p>
            <w:pPr>
              <w:numPr>
                <w:ilvl w:val="0"/>
                <w:numId w:val="24"/>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For the choice of token dimension and feature dimension,</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Alt 1: Use subband as the token dimension and Tx port as a feature dimension</w:t>
            </w:r>
          </w:p>
          <w:p>
            <w:pPr>
              <w:numPr>
                <w:ilvl w:val="2"/>
                <w:numId w:val="24"/>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The number of tokens varies with the number of subbands.</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Alt 2: Use Tx port as the token dimension and subband as a feature dimension</w:t>
            </w:r>
          </w:p>
          <w:p>
            <w:pPr>
              <w:numPr>
                <w:ilvl w:val="2"/>
                <w:numId w:val="24"/>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The number of tokens varies with the number of Tx ports.</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Alt 3: Use a fixed-size sub-block of Tx ports and subbands matrix (e.g., n_Tx_ports*m_Subbands) as a token and represent the input as a sequence of tokens.</w:t>
            </w:r>
          </w:p>
          <w:p>
            <w:pPr>
              <w:numPr>
                <w:ilvl w:val="2"/>
                <w:numId w:val="24"/>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The number of tokens varies with the number of Tx ports and the number of subbands.</w:t>
            </w:r>
          </w:p>
          <w:p>
            <w:pPr>
              <w:numPr>
                <w:ilvl w:val="0"/>
                <w:numId w:val="24"/>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 xml:space="preserve">For scalability over the feature dimension, </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Alt1: specific embedding layer for each feature size</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 xml:space="preserve">Alt2: a common embedding layer with padding (e.g., zero-padding or other techniques for padding values) </w:t>
            </w:r>
          </w:p>
          <w:p>
            <w:pPr>
              <w:numPr>
                <w:ilvl w:val="0"/>
                <w:numId w:val="24"/>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 xml:space="preserve">For scalability over the token dimension, </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Alt1: positional embedding specific to each token index</w:t>
            </w:r>
          </w:p>
          <w:p>
            <w:pPr>
              <w:numPr>
                <w:ilvl w:val="2"/>
                <w:numId w:val="24"/>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fldChar w:fldCharType="begin"/>
            </w:r>
            <w:r>
              <w:rPr>
                <w:rFonts w:eastAsia="Times New Roman"/>
                <w:color w:val="000000" w:themeColor="text1"/>
                <w:szCs w:val="20"/>
                <w:lang w:val="en-GB" w:eastAsia="en-US"/>
                <w14:textFill>
                  <w14:solidFill>
                    <w14:schemeClr w14:val="tx1"/>
                  </w14:solidFill>
                </w14:textFill>
              </w:rPr>
              <w:instrText xml:space="preserve"> QUOTE </w:instrText>
            </w:r>
            <w:r>
              <w:rPr>
                <w:rFonts w:eastAsia="Times New Roman"/>
                <w:color w:val="000000" w:themeColor="text1"/>
                <w:szCs w:val="20"/>
                <w:lang w:val="en-GB" w:eastAsia="en-US"/>
                <w14:textFill>
                  <w14:solidFill>
                    <w14:schemeClr w14:val="tx1"/>
                  </w14:solidFill>
                </w14:textFill>
              </w:rPr>
              <w:pict>
                <v:shape id="_x0000_i1025" o:spt="75" type="#_x0000_t75" style="height:12.8pt;width:49.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C9&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16EC9&quot; wsp:rsidRDefault=&quot;00116EC9&quot; wsp:rsidP=&quot;00116EC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activ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eastAsia="Times New Roman"/>
                <w:color w:val="000000" w:themeColor="text1"/>
                <w:szCs w:val="20"/>
                <w:lang w:val="en-GB" w:eastAsia="en-US"/>
                <w14:textFill>
                  <w14:solidFill>
                    <w14:schemeClr w14:val="tx1"/>
                  </w14:solidFill>
                </w14:textFill>
              </w:rPr>
              <w:instrText xml:space="preserve"> </w:instrText>
            </w:r>
            <w:r>
              <w:rPr>
                <w:rFonts w:eastAsia="Times New Roman"/>
                <w:color w:val="000000" w:themeColor="text1"/>
                <w:szCs w:val="20"/>
                <w:lang w:val="en-GB" w:eastAsia="en-US"/>
                <w14:textFill>
                  <w14:solidFill>
                    <w14:schemeClr w14:val="tx1"/>
                  </w14:solidFill>
                </w14:textFill>
              </w:rPr>
              <w:fldChar w:fldCharType="separate"/>
            </w:r>
            <w:r>
              <w:rPr>
                <w:rFonts w:eastAsia="Times New Roman"/>
                <w:color w:val="000000" w:themeColor="text1"/>
                <w:szCs w:val="20"/>
                <w:lang w:val="en-GB" w:eastAsia="en-US"/>
                <w14:textFill>
                  <w14:solidFill>
                    <w14:schemeClr w14:val="tx1"/>
                  </w14:solidFill>
                </w14:textFill>
              </w:rPr>
              <w:pict>
                <v:shape id="_x0000_i1026" o:spt="75" type="#_x0000_t75" style="height:12.8pt;width:49.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C9&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16EC9&quot; wsp:rsidRDefault=&quot;00116EC9&quot; wsp:rsidP=&quot;00116EC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activ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eastAsia="Times New Roman"/>
                <w:color w:val="000000" w:themeColor="text1"/>
                <w:szCs w:val="20"/>
                <w:lang w:val="en-GB" w:eastAsia="en-US"/>
                <w14:textFill>
                  <w14:solidFill>
                    <w14:schemeClr w14:val="tx1"/>
                  </w14:solidFill>
                </w14:textFill>
              </w:rPr>
              <w:fldChar w:fldCharType="end"/>
            </w:r>
            <w:r>
              <w:rPr>
                <w:rFonts w:eastAsia="Times New Roman"/>
                <w:color w:val="000000" w:themeColor="text1"/>
                <w:szCs w:val="20"/>
                <w:lang w:val="en-GB" w:eastAsia="en-US"/>
                <w14:textFill>
                  <w14:solidFill>
                    <w14:schemeClr w14:val="tx1"/>
                  </w14:solidFill>
                </w14:textFill>
              </w:rPr>
              <w:t xml:space="preserve"> tokens out of  </w:t>
            </w:r>
            <w:r>
              <w:rPr>
                <w:rFonts w:eastAsia="Times New Roman"/>
                <w:color w:val="000000" w:themeColor="text1"/>
                <w:szCs w:val="20"/>
                <w:lang w:val="en-GB" w:eastAsia="en-US"/>
                <w14:textFill>
                  <w14:solidFill>
                    <w14:schemeClr w14:val="tx1"/>
                  </w14:solidFill>
                </w14:textFill>
              </w:rPr>
              <w:fldChar w:fldCharType="begin"/>
            </w:r>
            <w:r>
              <w:rPr>
                <w:rFonts w:eastAsia="Times New Roman"/>
                <w:color w:val="000000" w:themeColor="text1"/>
                <w:szCs w:val="20"/>
                <w:lang w:val="en-GB" w:eastAsia="en-US"/>
                <w14:textFill>
                  <w14:solidFill>
                    <w14:schemeClr w14:val="tx1"/>
                  </w14:solidFill>
                </w14:textFill>
              </w:rPr>
              <w:instrText xml:space="preserve"> QUOTE </w:instrText>
            </w:r>
            <w:r>
              <w:rPr>
                <w:rFonts w:eastAsia="Times New Roman"/>
                <w:color w:val="000000" w:themeColor="text1"/>
                <w:szCs w:val="20"/>
                <w:lang w:val="en-GB" w:eastAsia="en-US"/>
                <w14:textFill>
                  <w14:solidFill>
                    <w14:schemeClr w14:val="tx1"/>
                  </w14:solidFill>
                </w14:textFill>
              </w:rPr>
              <w:pict>
                <v:shape id="_x0000_i1027" o:spt="75" type="#_x0000_t75" style="height:11.95pt;width:26.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4FE9&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D4FE9&quot; wsp:rsidRDefault=&quot;00BD4FE9&quot; wsp:rsidP=&quot;00BD4FE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rFonts w:eastAsia="Times New Roman"/>
                <w:color w:val="000000" w:themeColor="text1"/>
                <w:szCs w:val="20"/>
                <w:lang w:val="en-GB" w:eastAsia="en-US"/>
                <w14:textFill>
                  <w14:solidFill>
                    <w14:schemeClr w14:val="tx1"/>
                  </w14:solidFill>
                </w14:textFill>
              </w:rPr>
              <w:instrText xml:space="preserve"> </w:instrText>
            </w:r>
            <w:r>
              <w:rPr>
                <w:rFonts w:eastAsia="Times New Roman"/>
                <w:color w:val="000000" w:themeColor="text1"/>
                <w:szCs w:val="20"/>
                <w:lang w:val="en-GB" w:eastAsia="en-US"/>
                <w14:textFill>
                  <w14:solidFill>
                    <w14:schemeClr w14:val="tx1"/>
                  </w14:solidFill>
                </w14:textFill>
              </w:rPr>
              <w:fldChar w:fldCharType="separate"/>
            </w:r>
            <w:r>
              <w:rPr>
                <w:rFonts w:eastAsia="Times New Roman"/>
                <w:color w:val="000000" w:themeColor="text1"/>
                <w:szCs w:val="20"/>
                <w:lang w:val="en-GB" w:eastAsia="en-US"/>
                <w14:textFill>
                  <w14:solidFill>
                    <w14:schemeClr w14:val="tx1"/>
                  </w14:solidFill>
                </w14:textFill>
              </w:rPr>
              <w:pict>
                <v:shape id="_x0000_i1028" o:spt="75" type="#_x0000_t75" style="height:11.95pt;width:26.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4FE9&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D4FE9&quot; wsp:rsidRDefault=&quot;00BD4FE9&quot; wsp:rsidP=&quot;00BD4FE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rFonts w:eastAsia="Times New Roman"/>
                <w:color w:val="000000" w:themeColor="text1"/>
                <w:szCs w:val="20"/>
                <w:lang w:val="en-GB" w:eastAsia="en-US"/>
                <w14:textFill>
                  <w14:solidFill>
                    <w14:schemeClr w14:val="tx1"/>
                  </w14:solidFill>
                </w14:textFill>
              </w:rPr>
              <w:fldChar w:fldCharType="end"/>
            </w:r>
            <w:r>
              <w:rPr>
                <w:rFonts w:eastAsia="Times New Roman"/>
                <w:color w:val="000000" w:themeColor="text1"/>
                <w:szCs w:val="20"/>
                <w:lang w:val="en-GB" w:eastAsia="en-US"/>
                <w14:textFill>
                  <w14:solidFill>
                    <w14:schemeClr w14:val="tx1"/>
                  </w14:solidFill>
                </w14:textFill>
              </w:rPr>
              <w:t xml:space="preserve"> token positions are used as input.</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 xml:space="preserve">Alt2: </w:t>
            </w:r>
            <w:r>
              <w:rPr>
                <w:rFonts w:eastAsia="Times New Roman"/>
                <w:color w:val="000000" w:themeColor="text1"/>
                <w:szCs w:val="20"/>
                <w:lang w:val="en-GB"/>
                <w14:textFill>
                  <w14:solidFill>
                    <w14:schemeClr w14:val="tx1"/>
                  </w14:solidFill>
                </w14:textFill>
              </w:rPr>
              <w:t>P</w:t>
            </w:r>
            <w:r>
              <w:rPr>
                <w:rFonts w:eastAsia="Times New Roman"/>
                <w:color w:val="000000" w:themeColor="text1"/>
                <w:szCs w:val="20"/>
                <w:lang w:val="en-GB" w:eastAsia="en-US"/>
                <w14:textFill>
                  <w14:solidFill>
                    <w14:schemeClr w14:val="tx1"/>
                  </w14:solidFill>
                </w14:textFill>
              </w:rPr>
              <w:t>adding at the input</w:t>
            </w:r>
          </w:p>
          <w:p>
            <w:pPr>
              <w:numPr>
                <w:ilvl w:val="0"/>
                <w:numId w:val="24"/>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For scalability over payload configurations,</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Alt1: specific output linear layer for each payload configuration</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Alt2: truncation/masking of the output linear layer output</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Alt3: by varying quantization parameters</w:t>
            </w:r>
          </w:p>
          <w:p>
            <w:pPr>
              <w:numPr>
                <w:ilvl w:val="0"/>
                <w:numId w:val="24"/>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ko-KR"/>
                <w14:textFill>
                  <w14:solidFill>
                    <w14:schemeClr w14:val="tx1"/>
                  </w14:solidFill>
                </w14:textFill>
              </w:rPr>
              <w:t>Notes</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Other Alternatives are not precluded.</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000000" w:themeColor="text1"/>
                <w:szCs w:val="20"/>
                <w:lang w:val="en-GB" w:eastAsia="en-US"/>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Different Alternatives may be used in combination.</w:t>
            </w:r>
          </w:p>
          <w:p>
            <w:pPr>
              <w:numPr>
                <w:ilvl w:val="1"/>
                <w:numId w:val="24"/>
              </w:numPr>
              <w:overflowPunct w:val="0"/>
              <w:autoSpaceDE w:val="0"/>
              <w:autoSpaceDN w:val="0"/>
              <w:adjustRightInd w:val="0"/>
              <w:snapToGrid w:val="0"/>
              <w:spacing w:before="72" w:beforeLines="30" w:after="72" w:afterLines="30" w:line="288" w:lineRule="auto"/>
              <w:ind w:left="783" w:hanging="363"/>
              <w:jc w:val="both"/>
              <w:textAlignment w:val="baseline"/>
              <w:rPr>
                <w:color w:val="000000" w:themeColor="text1"/>
                <w14:textFill>
                  <w14:solidFill>
                    <w14:schemeClr w14:val="tx1"/>
                  </w14:solidFill>
                </w14:textFill>
              </w:rPr>
            </w:pPr>
            <w:r>
              <w:rPr>
                <w:rFonts w:eastAsia="Times New Roman"/>
                <w:color w:val="000000" w:themeColor="text1"/>
                <w:szCs w:val="20"/>
                <w:lang w:val="en-GB" w:eastAsia="en-US"/>
                <w14:textFill>
                  <w14:solidFill>
                    <w14:schemeClr w14:val="tx1"/>
                  </w14:solidFill>
                </w14:textFill>
              </w:rPr>
              <w:t>Same/similar approach is applied at the decoder side.</w:t>
            </w:r>
            <w:bookmarkEnd w:id="14"/>
          </w:p>
        </w:tc>
      </w:tr>
    </w:tbl>
    <w:p>
      <w:pPr>
        <w:tabs>
          <w:tab w:val="left" w:pos="432"/>
        </w:tabs>
        <w:snapToGrid w:val="0"/>
        <w:spacing w:before="72" w:beforeLines="30" w:after="72" w:afterLines="30" w:line="288" w:lineRule="auto"/>
        <w:jc w:val="both"/>
        <w:rPr>
          <w:rFonts w:eastAsia="宋体"/>
          <w:iCs/>
          <w:color w:val="000000" w:themeColor="text1"/>
          <w14:textFill>
            <w14:solidFill>
              <w14:schemeClr w14:val="tx1"/>
            </w14:solidFill>
          </w14:textFill>
        </w:rPr>
      </w:pPr>
      <w:r>
        <w:rPr>
          <w:rFonts w:hint="eastAsia" w:eastAsia="宋体"/>
          <w:iCs/>
          <w:color w:val="000000" w:themeColor="text1"/>
          <w14:textFill>
            <w14:solidFill>
              <w14:schemeClr w14:val="tx1"/>
            </w14:solidFill>
          </w14:textFill>
        </w:rPr>
        <w:t xml:space="preserve">Regarding the choice of </w:t>
      </w:r>
      <w:r>
        <w:rPr>
          <w:rFonts w:eastAsia="宋体"/>
          <w:iCs/>
          <w:color w:val="000000" w:themeColor="text1"/>
          <w:lang w:val="en-GB" w:eastAsia="en-US"/>
          <w14:textFill>
            <w14:solidFill>
              <w14:schemeClr w14:val="tx1"/>
            </w14:solidFill>
          </w14:textFill>
        </w:rPr>
        <w:t>token dimension and feature dimension</w:t>
      </w:r>
      <w:r>
        <w:rPr>
          <w:rFonts w:hint="eastAsia" w:eastAsia="宋体"/>
          <w:iCs/>
          <w:color w:val="000000" w:themeColor="text1"/>
          <w14:textFill>
            <w14:solidFill>
              <w14:schemeClr w14:val="tx1"/>
            </w14:solidFill>
          </w14:textFill>
        </w:rPr>
        <w:t xml:space="preserve"> for temporal domain Case 0, some analysis are listed as follows. Similar to the legacy Transformer applied in translation field, it is natural to place the information that exhibits correlation along the token dimension like a sentence. For example, there is some inherent channel correlation within the subbands in the frequency domain, making it more appropriate to use subbands as the token dimension (i.e., Alt 1). This allows the Transformer network to learn the channel characteristics more effectively. Regarding the evolution of specification, larger values should be predefined to ensure forward compatibility. For Alt 3, its core idea involves treating a fixed atomic unit (comprising N Tx antenna ports and M subbands) as a single token, with the number of atomic units serving as the dimension of the token sequence. This approach has the advantage of forward compatibility since when the number of ports and subbands is expanded in the future, what really matters is extending the length of the token sequence. Transformers inherently cater well to varying sequence lengths. However, the downside of Alt 3 involves additional pre-processing steps since segmenting into sub-blocks should ideally result in whole divisions. If this is not the case, further operations like padding are required to handle non-whole divisions. Moreover, its performance benefits need to be empirically validated. Overall, Alt 1 is a relatively simple way to establish the format of model input/output and corresponding performance benefits of Alt 1 are presented in our preliminary simulation results in the following section.</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 xml:space="preserve">For the choice of token dimension and feature dimension, Alt 1 is more appropriate considering the inherent channel correlation within the subbands in the frequency domain. </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the choice of token dimension and feature dimension, Alt 3 may involves additional pre-processing steps like padding to handle non-whole divisions and its performance benefit needs further validation.</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p>
      <w:pPr>
        <w:adjustRightInd w:val="0"/>
        <w:snapToGrid w:val="0"/>
        <w:spacing w:before="72" w:beforeLines="30" w:after="72" w:afterLines="30" w:line="288" w:lineRule="auto"/>
        <w:jc w:val="both"/>
        <w:rPr>
          <w:rFonts w:eastAsiaTheme="minorEastAsia"/>
          <w:iCs/>
          <w:color w:val="000000" w:themeColor="text1"/>
          <w14:textFill>
            <w14:solidFill>
              <w14:schemeClr w14:val="tx1"/>
            </w14:solidFill>
          </w14:textFill>
        </w:rPr>
      </w:pPr>
      <w:r>
        <w:rPr>
          <w:rFonts w:hint="eastAsia" w:eastAsiaTheme="minorEastAsia"/>
          <w:iCs/>
          <w:color w:val="000000" w:themeColor="text1"/>
          <w14:textFill>
            <w14:solidFill>
              <w14:schemeClr w14:val="tx1"/>
            </w14:solidFill>
          </w14:textFill>
        </w:rPr>
        <w:t>In the above agreement, different alternatives for scalability over the feature dimension, token dimension, and payload configurations were suggested. Our analyses are presented as below.</w:t>
      </w:r>
    </w:p>
    <w:p>
      <w:pPr>
        <w:numPr>
          <w:ilvl w:val="0"/>
          <w:numId w:val="25"/>
        </w:numPr>
        <w:snapToGrid w:val="0"/>
        <w:spacing w:before="72" w:beforeLines="30" w:after="72" w:afterLines="30" w:line="288" w:lineRule="auto"/>
        <w:jc w:val="both"/>
        <w:rPr>
          <w:rFonts w:eastAsia="宋体"/>
          <w:iCs/>
          <w:color w:val="000000" w:themeColor="text1"/>
          <w:highlight w:val="none"/>
          <w:lang w:val="en-GB"/>
          <w14:textFill>
            <w14:solidFill>
              <w14:schemeClr w14:val="tx1"/>
            </w14:solidFill>
          </w14:textFill>
        </w:rPr>
      </w:pPr>
      <w:r>
        <w:rPr>
          <w:rFonts w:hint="eastAsia" w:eastAsia="宋体"/>
          <w:iCs/>
          <w:color w:val="000000" w:themeColor="text1"/>
          <w:lang w:val="en-GB"/>
          <w14:textFill>
            <w14:solidFill>
              <w14:schemeClr w14:val="tx1"/>
            </w14:solidFill>
          </w14:textFill>
        </w:rPr>
        <w:t xml:space="preserve">For scalability over the feature dimension, Alt 2 can be considered </w:t>
      </w:r>
      <w:r>
        <w:rPr>
          <w:rFonts w:hint="eastAsia" w:eastAsia="宋体"/>
          <w:iCs/>
          <w:color w:val="000000" w:themeColor="text1"/>
          <w14:textFill>
            <w14:solidFill>
              <w14:schemeClr w14:val="tx1"/>
            </w14:solidFill>
          </w14:textFill>
        </w:rPr>
        <w:t>as a starting point</w:t>
      </w:r>
      <w:r>
        <w:rPr>
          <w:rFonts w:hint="eastAsia" w:eastAsia="宋体"/>
          <w:iCs/>
          <w:color w:val="000000" w:themeColor="text1"/>
          <w:lang w:val="en-GB"/>
          <w14:textFill>
            <w14:solidFill>
              <w14:schemeClr w14:val="tx1"/>
            </w14:solidFill>
          </w14:textFill>
        </w:rPr>
        <w:t xml:space="preserve">. This is because Alt 1 necessitates a specific embedding layer (e.g., a </w:t>
      </w:r>
      <w:r>
        <w:rPr>
          <w:rFonts w:hint="eastAsia" w:eastAsia="宋体"/>
          <w:iCs/>
          <w:color w:val="000000" w:themeColor="text1"/>
          <w14:textFill>
            <w14:solidFill>
              <w14:schemeClr w14:val="tx1"/>
            </w14:solidFill>
          </w14:textFill>
        </w:rPr>
        <w:t>f</w:t>
      </w:r>
      <w:r>
        <w:rPr>
          <w:rFonts w:hint="eastAsia" w:eastAsia="宋体"/>
          <w:iCs/>
          <w:color w:val="000000" w:themeColor="text1"/>
          <w:lang w:val="en-GB"/>
          <w14:textFill>
            <w14:solidFill>
              <w14:schemeClr w14:val="tx1"/>
            </w14:solidFill>
          </w14:textFill>
        </w:rPr>
        <w:t>ully-</w:t>
      </w:r>
      <w:r>
        <w:rPr>
          <w:rFonts w:hint="eastAsia" w:eastAsia="宋体"/>
          <w:iCs/>
          <w:color w:val="000000" w:themeColor="text1"/>
          <w14:textFill>
            <w14:solidFill>
              <w14:schemeClr w14:val="tx1"/>
            </w14:solidFill>
          </w14:textFill>
        </w:rPr>
        <w:t>c</w:t>
      </w:r>
      <w:r>
        <w:rPr>
          <w:rFonts w:hint="eastAsia" w:eastAsia="宋体"/>
          <w:iCs/>
          <w:color w:val="000000" w:themeColor="text1"/>
          <w:lang w:val="en-GB"/>
          <w14:textFill>
            <w14:solidFill>
              <w14:schemeClr w14:val="tx1"/>
            </w14:solidFill>
          </w14:textFill>
        </w:rPr>
        <w:t xml:space="preserve">onnected layer) for each distinct feature size, leading to an increased number of model parameters and computational complexity. Given that FC layers are computationally intensive, this approach can significantly </w:t>
      </w:r>
      <w:r>
        <w:rPr>
          <w:rFonts w:hint="eastAsia" w:eastAsia="宋体"/>
          <w:iCs/>
          <w:color w:val="000000" w:themeColor="text1"/>
          <w14:textFill>
            <w14:solidFill>
              <w14:schemeClr w14:val="tx1"/>
            </w14:solidFill>
          </w14:textFill>
        </w:rPr>
        <w:t xml:space="preserve">increase </w:t>
      </w:r>
      <w:r>
        <w:rPr>
          <w:rFonts w:hint="eastAsia" w:eastAsia="宋体"/>
          <w:iCs/>
          <w:color w:val="000000" w:themeColor="text1"/>
          <w:lang w:val="en-GB"/>
          <w14:textFill>
            <w14:solidFill>
              <w14:schemeClr w14:val="tx1"/>
            </w14:solidFill>
          </w14:textFill>
        </w:rPr>
        <w:t>the model complexity. In contrast, Alt 2 just employs padding operations to fulfi</w:t>
      </w:r>
      <w:r>
        <w:rPr>
          <w:rFonts w:hint="eastAsia" w:eastAsia="宋体"/>
          <w:iCs/>
          <w:color w:val="000000" w:themeColor="text1"/>
          <w:highlight w:val="none"/>
          <w:lang w:val="en-GB"/>
          <w14:textFill>
            <w14:solidFill>
              <w14:schemeClr w14:val="tx1"/>
            </w14:solidFill>
          </w14:textFill>
        </w:rPr>
        <w:t>l the predefined feature sizes without introducing extra complexity to either the model architecture or inference process, making it comparatively simpler and more efficient.</w:t>
      </w:r>
    </w:p>
    <w:p>
      <w:pPr>
        <w:numPr>
          <w:ilvl w:val="0"/>
          <w:numId w:val="25"/>
        </w:numPr>
        <w:snapToGrid w:val="0"/>
        <w:spacing w:before="72" w:beforeLines="30" w:after="72" w:afterLines="30" w:line="288" w:lineRule="auto"/>
        <w:jc w:val="both"/>
        <w:rPr>
          <w:rFonts w:eastAsia="宋体"/>
          <w:iCs/>
          <w:color w:val="000000" w:themeColor="text1"/>
          <w:highlight w:val="none"/>
          <w:lang w:val="en-GB"/>
          <w14:textFill>
            <w14:solidFill>
              <w14:schemeClr w14:val="tx1"/>
            </w14:solidFill>
          </w14:textFill>
        </w:rPr>
      </w:pPr>
      <w:r>
        <w:rPr>
          <w:rFonts w:hint="eastAsia" w:eastAsia="宋体"/>
          <w:iCs/>
          <w:color w:val="000000" w:themeColor="text1"/>
          <w:highlight w:val="none"/>
          <w:lang w:val="en-GB"/>
          <w14:textFill>
            <w14:solidFill>
              <w14:schemeClr w14:val="tx1"/>
            </w14:solidFill>
          </w14:textFill>
        </w:rPr>
        <w:t xml:space="preserve">For scalability over the token dimension, </w:t>
      </w:r>
      <w:r>
        <w:rPr>
          <w:rFonts w:hint="eastAsia" w:eastAsia="宋体"/>
          <w:iCs/>
          <w:color w:val="000000" w:themeColor="text1"/>
          <w:highlight w:val="none"/>
          <w:lang w:val="en-US" w:eastAsia="zh-CN"/>
          <w14:textFill>
            <w14:solidFill>
              <w14:schemeClr w14:val="tx1"/>
            </w14:solidFill>
          </w14:textFill>
        </w:rPr>
        <w:t xml:space="preserve">for Alt 1, the number of tokens is equal to the number of subbands for encoder input and an additionally </w:t>
      </w:r>
      <w:r>
        <w:rPr>
          <w:rFonts w:hint="eastAsia" w:eastAsia="宋体"/>
          <w:iCs/>
          <w:color w:val="000000" w:themeColor="text1"/>
          <w:highlight w:val="none"/>
          <w:lang w:val="en-GB"/>
          <w14:textFill>
            <w14:solidFill>
              <w14:schemeClr w14:val="tx1"/>
            </w14:solidFill>
          </w14:textFill>
        </w:rPr>
        <w:t>zero-padding</w:t>
      </w:r>
      <w:r>
        <w:rPr>
          <w:rFonts w:hint="eastAsia" w:eastAsia="宋体"/>
          <w:iCs/>
          <w:color w:val="000000" w:themeColor="text1"/>
          <w:highlight w:val="none"/>
          <w:lang w:val="en-US" w:eastAsia="zh-CN"/>
          <w14:textFill>
            <w14:solidFill>
              <w14:schemeClr w14:val="tx1"/>
            </w14:solidFill>
          </w14:textFill>
        </w:rPr>
        <w:t xml:space="preserve"> is performed at </w:t>
      </w:r>
      <w:r>
        <w:rPr>
          <w:rFonts w:hint="eastAsia" w:eastAsia="宋体"/>
          <w:iCs/>
          <w:color w:val="000000" w:themeColor="text1"/>
          <w:highlight w:val="none"/>
          <w:lang w:val="en-GB"/>
          <w14:textFill>
            <w14:solidFill>
              <w14:schemeClr w14:val="tx1"/>
            </w14:solidFill>
          </w14:textFill>
        </w:rPr>
        <w:t xml:space="preserve">the output of transformer blocks </w:t>
      </w:r>
      <w:r>
        <w:rPr>
          <w:rFonts w:hint="eastAsia" w:eastAsia="宋体"/>
          <w:iCs/>
          <w:color w:val="000000" w:themeColor="text1"/>
          <w:highlight w:val="none"/>
          <w:lang w:val="en-US" w:eastAsia="zh-CN"/>
          <w14:textFill>
            <w14:solidFill>
              <w14:schemeClr w14:val="tx1"/>
            </w14:solidFill>
          </w14:textFill>
        </w:rPr>
        <w:t xml:space="preserve">for dimension alignment. For Alt 2, the dimension of encoder input is designed according to the maximum number of subbands. Further comparison between Alt 1 and Alt 2 is needed in terms of model complexity and performance. From our perspective, </w:t>
      </w:r>
      <w:r>
        <w:rPr>
          <w:rFonts w:hint="eastAsia" w:eastAsia="宋体"/>
          <w:iCs/>
          <w:color w:val="000000" w:themeColor="text1"/>
          <w:highlight w:val="none"/>
          <w:lang w:val="en-GB"/>
          <w14:textFill>
            <w14:solidFill>
              <w14:schemeClr w14:val="tx1"/>
            </w14:solidFill>
          </w14:textFill>
        </w:rPr>
        <w:t>Alt 2 (padding at the input) is a simple way to operate and incurs minor performance degradation compared with the dedicated model design in our simulations.</w:t>
      </w:r>
    </w:p>
    <w:p>
      <w:pPr>
        <w:numPr>
          <w:ilvl w:val="0"/>
          <w:numId w:val="25"/>
        </w:numPr>
        <w:snapToGrid w:val="0"/>
        <w:spacing w:before="72" w:beforeLines="30" w:after="72" w:afterLines="30" w:line="288" w:lineRule="auto"/>
        <w:jc w:val="both"/>
        <w:rPr>
          <w:rFonts w:eastAsia="宋体"/>
          <w:iCs/>
          <w:color w:val="000000" w:themeColor="text1"/>
          <w:lang w:val="en-GB"/>
          <w14:textFill>
            <w14:solidFill>
              <w14:schemeClr w14:val="tx1"/>
            </w14:solidFill>
          </w14:textFill>
        </w:rPr>
      </w:pPr>
      <w:r>
        <w:rPr>
          <w:rFonts w:hint="eastAsia" w:eastAsia="宋体"/>
          <w:iCs/>
          <w:color w:val="000000" w:themeColor="text1"/>
          <w:lang w:val="en-GB"/>
          <w14:textFill>
            <w14:solidFill>
              <w14:schemeClr w14:val="tx1"/>
            </w14:solidFill>
          </w14:textFill>
        </w:rPr>
        <w:t>For scalability over payload configurations, both Alt 1 and Alt 2 are common implementation approaches over multiple feedback payload sizes, which are illustrated in the following figures. Alt 1 adopts specific output linear layer for each payload configuration</w:t>
      </w:r>
      <w:r>
        <w:rPr>
          <w:rFonts w:hint="eastAsia" w:eastAsia="宋体"/>
          <w:iCs/>
          <w:color w:val="000000" w:themeColor="text1"/>
          <w14:textFill>
            <w14:solidFill>
              <w14:schemeClr w14:val="tx1"/>
            </w14:solidFill>
          </w14:textFill>
        </w:rPr>
        <w:t>. F</w:t>
      </w:r>
      <w:r>
        <w:rPr>
          <w:rFonts w:hint="eastAsia" w:eastAsia="宋体"/>
          <w:iCs/>
          <w:color w:val="000000" w:themeColor="text1"/>
          <w:lang w:val="en-GB"/>
          <w14:textFill>
            <w14:solidFill>
              <w14:schemeClr w14:val="tx1"/>
            </w14:solidFill>
          </w14:textFill>
        </w:rPr>
        <w:t>or example, Alt 1 adopts specific fully-connected layers to compress the features to different output latent vectors exclusively. It would indeed increase the model complexity and inference overhead. Alt 2 just operates truncation/masking of the maximum linear layer output for each payload configuration. Regarding Alt 3, its essence lies in altering the quantization part, for example, one possible approach is to adjust quantization granularity to modify payload sizes. However, changes in the quantization precision might have minor impact</w:t>
      </w:r>
      <w:r>
        <w:rPr>
          <w:rFonts w:hint="eastAsia" w:eastAsia="宋体"/>
          <w:iCs/>
          <w:color w:val="000000" w:themeColor="text1"/>
          <w14:textFill>
            <w14:solidFill>
              <w14:schemeClr w14:val="tx1"/>
            </w14:solidFill>
          </w14:textFill>
        </w:rPr>
        <w:t>s</w:t>
      </w:r>
      <w:r>
        <w:rPr>
          <w:rFonts w:hint="eastAsia" w:eastAsia="宋体"/>
          <w:iCs/>
          <w:color w:val="000000" w:themeColor="text1"/>
          <w:lang w:val="en-GB"/>
          <w14:textFill>
            <w14:solidFill>
              <w14:schemeClr w14:val="tx1"/>
            </w14:solidFill>
          </w14:textFill>
        </w:rPr>
        <w:t xml:space="preserve"> on the improvement of CSI reconstruction accuracy</w:t>
      </w:r>
      <w:r>
        <w:rPr>
          <w:rFonts w:hint="eastAsia" w:eastAsia="宋体"/>
          <w:iCs/>
          <w:color w:val="000000" w:themeColor="text1"/>
          <w14:textFill>
            <w14:solidFill>
              <w14:schemeClr w14:val="tx1"/>
            </w14:solidFill>
          </w14:textFill>
        </w:rPr>
        <w:t>. T</w:t>
      </w:r>
      <w:r>
        <w:rPr>
          <w:rFonts w:hint="eastAsia" w:eastAsia="宋体"/>
          <w:iCs/>
          <w:color w:val="000000" w:themeColor="text1"/>
          <w:lang w:val="en-GB"/>
          <w14:textFill>
            <w14:solidFill>
              <w14:schemeClr w14:val="tx1"/>
            </w14:solidFill>
          </w14:textFill>
        </w:rPr>
        <w:t>he key factors primarily affecting model performance are still the changes in lengths of encoder output latents from our previous experience. Therefore, altering model structure might yield superior performance improvement compared to solely modifying quantization granularity.</w:t>
      </w:r>
    </w:p>
    <w:p>
      <w:pPr>
        <w:numPr>
          <w:ilvl w:val="1"/>
          <w:numId w:val="25"/>
        </w:numPr>
        <w:snapToGrid w:val="0"/>
        <w:spacing w:before="72" w:beforeLines="30" w:after="72" w:afterLines="30" w:line="288" w:lineRule="auto"/>
        <w:jc w:val="both"/>
        <w:rPr>
          <w:rFonts w:eastAsia="宋体"/>
          <w:iCs/>
          <w:color w:val="000000" w:themeColor="text1"/>
          <w:lang w:val="en-GB"/>
          <w14:textFill>
            <w14:solidFill>
              <w14:schemeClr w14:val="tx1"/>
            </w14:solidFill>
          </w14:textFill>
        </w:rPr>
      </w:pPr>
      <w:r>
        <w:rPr>
          <w:rFonts w:eastAsia="宋体"/>
          <w:bCs/>
          <w:color w:val="000000" w:themeColor="text1"/>
          <w14:textFill>
            <w14:solidFill>
              <w14:schemeClr w14:val="tx1"/>
            </w14:solidFill>
          </w14:textFill>
        </w:rPr>
        <w:t xml:space="preserve">Based on the above analysis, we perform an experiment to justify the performance and complexity between </w:t>
      </w:r>
      <w:r>
        <w:rPr>
          <w:rFonts w:hint="eastAsia" w:eastAsia="宋体"/>
          <w:bCs/>
          <w:color w:val="000000" w:themeColor="text1"/>
          <w14:textFill>
            <w14:solidFill>
              <w14:schemeClr w14:val="tx1"/>
            </w14:solidFill>
          </w14:textFill>
        </w:rPr>
        <w:t>Alt 1 and Alt 2</w:t>
      </w:r>
      <w:r>
        <w:rPr>
          <w:rFonts w:eastAsia="宋体"/>
          <w:bCs/>
          <w:color w:val="000000" w:themeColor="text1"/>
          <w14:textFill>
            <w14:solidFill>
              <w14:schemeClr w14:val="tx1"/>
            </w14:solidFill>
          </w14:textFill>
        </w:rPr>
        <w:t xml:space="preserve">, in which a scalable model structure with </w:t>
      </w:r>
      <w:r>
        <w:rPr>
          <w:rFonts w:hint="eastAsia" w:eastAsia="宋体"/>
          <w:bCs/>
          <w:color w:val="000000" w:themeColor="text1"/>
          <w14:textFill>
            <w14:solidFill>
              <w14:schemeClr w14:val="tx1"/>
            </w14:solidFill>
          </w14:textFill>
        </w:rPr>
        <w:t>one</w:t>
      </w:r>
      <w:r>
        <w:rPr>
          <w:rFonts w:eastAsia="宋体"/>
          <w:bCs/>
          <w:color w:val="000000" w:themeColor="text1"/>
          <w14:textFill>
            <w14:solidFill>
              <w14:schemeClr w14:val="tx1"/>
            </w14:solidFill>
          </w14:textFill>
        </w:rPr>
        <w:t xml:space="preserve"> parameter set is assumed under high CSI feedback payload size. The preliminary simulation results are shown in the following table.</w:t>
      </w:r>
      <w:r>
        <w:rPr>
          <w:rFonts w:hint="eastAsia" w:eastAsia="宋体"/>
          <w:bCs/>
          <w:color w:val="000000" w:themeColor="text1"/>
          <w14:textFill>
            <w14:solidFill>
              <w14:schemeClr w14:val="tx1"/>
            </w14:solidFill>
          </w14:textFill>
        </w:rPr>
        <w:t xml:space="preserve"> As observed, Alt 2 shows around 1% SGCS degradation for two layers compared with Alt 1. However, Alt 2 can further reduce number of model parameters by over 40%, which reduces model complexity to a large extent. Therefore, Alt 2 achieves a better trade-off between accuracy and model complexity. </w:t>
      </w:r>
      <w:r>
        <w:rPr>
          <w:rFonts w:eastAsia="宋体"/>
          <w:bCs/>
          <w:color w:val="000000" w:themeColor="text1"/>
          <w14:textFill>
            <w14:solidFill>
              <w14:schemeClr w14:val="tx1"/>
            </w14:solidFill>
          </w14:textFill>
        </w:rPr>
        <w:t xml:space="preserve"> </w:t>
      </w:r>
    </w:p>
    <w:p>
      <w:pPr>
        <w:tabs>
          <w:tab w:val="left" w:pos="432"/>
        </w:tabs>
        <w:snapToGrid w:val="0"/>
        <w:spacing w:before="72" w:beforeLines="30" w:after="72" w:afterLines="30" w:line="288" w:lineRule="auto"/>
        <w:jc w:val="both"/>
        <w:rPr>
          <w:rFonts w:eastAsiaTheme="minorEastAsia"/>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5943600" cy="14008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9"/>
                    <a:stretch>
                      <a:fillRect/>
                    </a:stretch>
                  </pic:blipFill>
                  <pic:spPr>
                    <a:xfrm>
                      <a:off x="0" y="0"/>
                      <a:ext cx="5943600" cy="1401434"/>
                    </a:xfrm>
                    <a:prstGeom prst="rect">
                      <a:avLst/>
                    </a:prstGeom>
                  </pic:spPr>
                </pic:pic>
              </a:graphicData>
            </a:graphic>
          </wp:inline>
        </w:drawing>
      </w:r>
    </w:p>
    <w:p>
      <w:pPr>
        <w:tabs>
          <w:tab w:val="left" w:pos="432"/>
        </w:tabs>
        <w:snapToGrid w:val="0"/>
        <w:spacing w:before="72" w:beforeLines="30" w:after="72" w:afterLines="30" w:line="288" w:lineRule="auto"/>
        <w:jc w:val="center"/>
        <w:rPr>
          <w:rFonts w:eastAsia="宋体"/>
          <w:iCs/>
          <w:color w:val="000000" w:themeColor="text1"/>
          <w14:textFill>
            <w14:solidFill>
              <w14:schemeClr w14:val="tx1"/>
            </w14:solidFill>
          </w14:textFill>
        </w:rPr>
      </w:pPr>
      <w:r>
        <w:rPr>
          <w:rFonts w:eastAsia="宋体"/>
          <w:iCs/>
          <w:color w:val="000000" w:themeColor="text1"/>
          <w14:textFill>
            <w14:solidFill>
              <w14:schemeClr w14:val="tx1"/>
            </w14:solidFill>
          </w14:textFill>
        </w:rPr>
        <w:t xml:space="preserve">Figure. Illustration </w:t>
      </w:r>
      <w:r>
        <w:rPr>
          <w:rFonts w:hint="eastAsia" w:eastAsia="宋体"/>
          <w:iCs/>
          <w:color w:val="000000" w:themeColor="text1"/>
          <w14:textFill>
            <w14:solidFill>
              <w14:schemeClr w14:val="tx1"/>
            </w14:solidFill>
          </w14:textFill>
        </w:rPr>
        <w:t xml:space="preserve">of </w:t>
      </w:r>
      <w:r>
        <w:rPr>
          <w:rFonts w:eastAsia="宋体"/>
          <w:iCs/>
          <w:color w:val="000000" w:themeColor="text1"/>
          <w14:textFill>
            <w14:solidFill>
              <w14:schemeClr w14:val="tx1"/>
            </w14:solidFill>
          </w14:textFill>
        </w:rPr>
        <w:t>scalable model with a specific output linear layer for each payload configuration (Alt 1)</w:t>
      </w:r>
    </w:p>
    <w:p>
      <w:pPr>
        <w:tabs>
          <w:tab w:val="left" w:pos="432"/>
        </w:tabs>
        <w:snapToGrid w:val="0"/>
        <w:spacing w:before="72" w:beforeLines="30" w:after="72" w:afterLines="30" w:line="288" w:lineRule="auto"/>
        <w:jc w:val="center"/>
        <w:rPr>
          <w:rFonts w:eastAsia="宋体"/>
          <w:iCs/>
          <w:color w:val="000000" w:themeColor="text1"/>
          <w14:textFill>
            <w14:solidFill>
              <w14:schemeClr w14:val="tx1"/>
            </w14:solidFill>
          </w14:textFill>
        </w:rPr>
      </w:pPr>
    </w:p>
    <w:p>
      <w:pPr>
        <w:tabs>
          <w:tab w:val="left" w:pos="432"/>
        </w:tabs>
        <w:snapToGrid w:val="0"/>
        <w:spacing w:before="72" w:beforeLines="30" w:after="72" w:afterLines="30" w:line="288" w:lineRule="auto"/>
        <w:jc w:val="both"/>
        <w:rPr>
          <w:rFonts w:eastAsia="宋体"/>
          <w:iCs/>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5943600" cy="1374140"/>
            <wp:effectExtent l="0" t="0" r="0" b="1016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0"/>
                    <a:stretch>
                      <a:fillRect/>
                    </a:stretch>
                  </pic:blipFill>
                  <pic:spPr>
                    <a:xfrm>
                      <a:off x="0" y="0"/>
                      <a:ext cx="5943600" cy="1374745"/>
                    </a:xfrm>
                    <a:prstGeom prst="rect">
                      <a:avLst/>
                    </a:prstGeom>
                  </pic:spPr>
                </pic:pic>
              </a:graphicData>
            </a:graphic>
          </wp:inline>
        </w:drawing>
      </w:r>
    </w:p>
    <w:p>
      <w:pPr>
        <w:tabs>
          <w:tab w:val="left" w:pos="432"/>
        </w:tabs>
        <w:snapToGrid w:val="0"/>
        <w:spacing w:before="72" w:beforeLines="30" w:after="72" w:afterLines="30" w:line="288" w:lineRule="auto"/>
        <w:jc w:val="center"/>
        <w:rPr>
          <w:rFonts w:eastAsia="宋体"/>
          <w:iCs/>
          <w:color w:val="000000" w:themeColor="text1"/>
          <w14:textFill>
            <w14:solidFill>
              <w14:schemeClr w14:val="tx1"/>
            </w14:solidFill>
          </w14:textFill>
        </w:rPr>
      </w:pPr>
      <w:r>
        <w:rPr>
          <w:rFonts w:eastAsia="宋体"/>
          <w:iCs/>
          <w:color w:val="000000" w:themeColor="text1"/>
          <w14:textFill>
            <w14:solidFill>
              <w14:schemeClr w14:val="tx1"/>
            </w14:solidFill>
          </w14:textFill>
        </w:rPr>
        <w:t xml:space="preserve">Figure. Illustration </w:t>
      </w:r>
      <w:r>
        <w:rPr>
          <w:rFonts w:hint="eastAsia" w:eastAsia="宋体"/>
          <w:iCs/>
          <w:color w:val="000000" w:themeColor="text1"/>
          <w14:textFill>
            <w14:solidFill>
              <w14:schemeClr w14:val="tx1"/>
            </w14:solidFill>
          </w14:textFill>
        </w:rPr>
        <w:t xml:space="preserve">of </w:t>
      </w:r>
      <w:r>
        <w:rPr>
          <w:rFonts w:eastAsia="宋体"/>
          <w:iCs/>
          <w:color w:val="000000" w:themeColor="text1"/>
          <w14:textFill>
            <w14:solidFill>
              <w14:schemeClr w14:val="tx1"/>
            </w14:solidFill>
          </w14:textFill>
        </w:rPr>
        <w:t>scalable model with truncation/masking of the output linear layer output (Alt 2)</w:t>
      </w:r>
    </w:p>
    <w:p>
      <w:pPr>
        <w:tabs>
          <w:tab w:val="left" w:pos="432"/>
        </w:tabs>
        <w:snapToGrid w:val="0"/>
        <w:spacing w:before="72" w:beforeLines="30" w:after="72" w:afterLines="30" w:line="288" w:lineRule="auto"/>
        <w:jc w:val="both"/>
        <w:rPr>
          <w:rFonts w:eastAsia="宋体"/>
          <w:bCs/>
          <w:color w:val="000000" w:themeColor="text1"/>
          <w14:textFill>
            <w14:solidFill>
              <w14:schemeClr w14:val="tx1"/>
            </w14:solidFill>
          </w14:textFill>
        </w:rPr>
      </w:pPr>
      <w:r>
        <w:rPr>
          <w:rFonts w:eastAsia="宋体"/>
          <w:bCs/>
          <w:color w:val="000000" w:themeColor="text1"/>
          <w14:textFill>
            <w14:solidFill>
              <w14:schemeClr w14:val="tx1"/>
            </w14:solidFill>
          </w14:textFill>
        </w:rPr>
        <w:t xml:space="preserve"> </w:t>
      </w:r>
    </w:p>
    <w:p>
      <w:pPr>
        <w:widowControl w:val="0"/>
        <w:tabs>
          <w:tab w:val="left" w:pos="420"/>
        </w:tabs>
        <w:snapToGrid w:val="0"/>
        <w:spacing w:before="72" w:beforeLines="30" w:after="72" w:afterLines="30" w:line="288" w:lineRule="auto"/>
        <w:jc w:val="center"/>
        <w:rPr>
          <w:rFonts w:eastAsia="宋体"/>
          <w:bCs/>
          <w:color w:val="000000" w:themeColor="text1"/>
          <w14:textFill>
            <w14:solidFill>
              <w14:schemeClr w14:val="tx1"/>
            </w14:solidFill>
          </w14:textFill>
        </w:rPr>
      </w:pPr>
      <w:r>
        <w:rPr>
          <w:rFonts w:hint="eastAsia"/>
          <w:bCs/>
          <w:color w:val="000000" w:themeColor="text1"/>
          <w14:textFill>
            <w14:solidFill>
              <w14:schemeClr w14:val="tx1"/>
            </w14:solidFill>
          </w14:textFill>
        </w:rPr>
        <w:t>Table</w:t>
      </w:r>
      <w:r>
        <w:rPr>
          <w:rFonts w:hint="eastAsia" w:eastAsia="宋体"/>
          <w:bCs/>
          <w:color w:val="000000" w:themeColor="text1"/>
          <w14:textFill>
            <w14:solidFill>
              <w14:schemeClr w14:val="tx1"/>
            </w14:solidFill>
          </w14:textFill>
        </w:rPr>
        <w:t xml:space="preserve">. </w:t>
      </w:r>
      <w:r>
        <w:rPr>
          <w:bCs/>
          <w:color w:val="000000" w:themeColor="text1"/>
          <w14:textFill>
            <w14:solidFill>
              <w14:schemeClr w14:val="tx1"/>
            </w14:solidFill>
          </w14:textFill>
        </w:rPr>
        <w:t>Comparison</w:t>
      </w:r>
      <w:r>
        <w:rPr>
          <w:rFonts w:hint="eastAsia" w:eastAsia="宋体"/>
          <w:bCs/>
          <w:color w:val="000000" w:themeColor="text1"/>
          <w14:textFill>
            <w14:solidFill>
              <w14:schemeClr w14:val="tx1"/>
            </w14:solidFill>
          </w14:textFill>
        </w:rPr>
        <w:t xml:space="preserve"> </w:t>
      </w:r>
      <w:r>
        <w:rPr>
          <w:bCs/>
          <w:color w:val="000000" w:themeColor="text1"/>
          <w14:textFill>
            <w14:solidFill>
              <w14:schemeClr w14:val="tx1"/>
            </w14:solidFill>
          </w14:textFill>
        </w:rPr>
        <w:t>between</w:t>
      </w:r>
      <w:r>
        <w:rPr>
          <w:rFonts w:hint="eastAsia"/>
          <w:bCs/>
          <w:color w:val="000000" w:themeColor="text1"/>
          <w14:textFill>
            <w14:solidFill>
              <w14:schemeClr w14:val="tx1"/>
            </w14:solidFill>
          </w14:textFill>
        </w:rPr>
        <w:t xml:space="preserve"> </w:t>
      </w:r>
      <w:r>
        <w:rPr>
          <w:bCs/>
          <w:color w:val="000000" w:themeColor="text1"/>
          <w14:textFill>
            <w14:solidFill>
              <w14:schemeClr w14:val="tx1"/>
            </w14:solidFill>
          </w14:textFill>
        </w:rPr>
        <w:t>Alt 1 and Alt 2</w:t>
      </w:r>
      <w:r>
        <w:rPr>
          <w:rFonts w:hint="eastAsia" w:eastAsia="宋体"/>
          <w:bCs/>
          <w:color w:val="000000" w:themeColor="text1"/>
          <w14:textFill>
            <w14:solidFill>
              <w14:schemeClr w14:val="tx1"/>
            </w14:solidFill>
          </w14:textFill>
        </w:rPr>
        <w:t xml:space="preserve"> f</w:t>
      </w:r>
      <w:r>
        <w:rPr>
          <w:rFonts w:hint="eastAsia" w:eastAsia="宋体"/>
          <w:iCs/>
          <w:color w:val="000000" w:themeColor="text1"/>
          <w:lang w:val="en-GB"/>
          <w14:textFill>
            <w14:solidFill>
              <w14:schemeClr w14:val="tx1"/>
            </w14:solidFill>
          </w14:textFill>
        </w:rPr>
        <w:t>or scalability over payload configurations</w:t>
      </w:r>
    </w:p>
    <w:tbl>
      <w:tblPr>
        <w:tblStyle w:val="25"/>
        <w:tblW w:w="75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3"/>
        <w:gridCol w:w="1417"/>
        <w:gridCol w:w="2410"/>
        <w:gridCol w:w="2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9" w:hRule="atLeast"/>
          <w:jc w:val="center"/>
        </w:trPr>
        <w:tc>
          <w:tcPr>
            <w:tcW w:w="2830" w:type="dxa"/>
            <w:gridSpan w:val="2"/>
          </w:tcPr>
          <w:p>
            <w:pPr>
              <w:jc w:val="center"/>
              <w:rPr>
                <w:color w:val="000000" w:themeColor="text1"/>
                <w14:textFill>
                  <w14:solidFill>
                    <w14:schemeClr w14:val="tx1"/>
                  </w14:solidFill>
                </w14:textFill>
              </w:rPr>
            </w:pPr>
            <w:r>
              <w:rPr>
                <w:color w:val="000000" w:themeColor="text1"/>
                <w14:textFill>
                  <w14:solidFill>
                    <w14:schemeClr w14:val="tx1"/>
                  </w14:solidFill>
                </w14:textFill>
              </w:rPr>
              <w:t>Simulation configuration combinations</w:t>
            </w:r>
          </w:p>
        </w:tc>
        <w:tc>
          <w:tcPr>
            <w:tcW w:w="2410" w:type="dxa"/>
          </w:tcPr>
          <w:p>
            <w:pPr>
              <w:jc w:val="center"/>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A</w:t>
            </w:r>
            <w:r>
              <w:rPr>
                <w:rFonts w:eastAsiaTheme="minorEastAsia"/>
                <w:color w:val="000000" w:themeColor="text1"/>
                <w14:textFill>
                  <w14:solidFill>
                    <w14:schemeClr w14:val="tx1"/>
                  </w14:solidFill>
                </w14:textFill>
              </w:rPr>
              <w:t>lt 1: Specific output linear layer for each payload configuration</w:t>
            </w:r>
          </w:p>
        </w:tc>
        <w:tc>
          <w:tcPr>
            <w:tcW w:w="2268" w:type="dxa"/>
          </w:tcPr>
          <w:p>
            <w:pPr>
              <w:jc w:val="center"/>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A</w:t>
            </w:r>
            <w:r>
              <w:rPr>
                <w:rFonts w:eastAsiaTheme="minorEastAsia"/>
                <w:color w:val="000000" w:themeColor="text1"/>
                <w14:textFill>
                  <w14:solidFill>
                    <w14:schemeClr w14:val="tx1"/>
                  </w14:solidFill>
                </w14:textFill>
              </w:rPr>
              <w:t>lt 2: Truncation/masking of the output linear layer output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413" w:type="dxa"/>
            <w:vMerge w:val="restart"/>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onfig#3: High payload size</w:t>
            </w:r>
          </w:p>
          <w:p>
            <w:pPr>
              <w:rPr>
                <w:rFonts w:eastAsiaTheme="minorEastAsia"/>
                <w:color w:val="000000" w:themeColor="text1"/>
                <w14:textFill>
                  <w14:solidFill>
                    <w14:schemeClr w14:val="tx1"/>
                  </w14:solidFill>
                </w14:textFill>
              </w:rPr>
            </w:pPr>
            <w:r>
              <w:rPr>
                <w:color w:val="000000" w:themeColor="text1"/>
                <w14:textFill>
                  <w14:solidFill>
                    <w14:schemeClr w14:val="tx1"/>
                  </w14:solidFill>
                </w14:textFill>
              </w:rPr>
              <w:t>(PC8: 322 * 2 =644bits)</w:t>
            </w:r>
          </w:p>
        </w:tc>
        <w:tc>
          <w:tcPr>
            <w:tcW w:w="1417" w:type="dxa"/>
          </w:tcPr>
          <w:p>
            <w:pPr>
              <w:rPr>
                <w:color w:val="000000" w:themeColor="text1"/>
                <w14:textFill>
                  <w14:solidFill>
                    <w14:schemeClr w14:val="tx1"/>
                  </w14:solidFill>
                </w14:textFill>
              </w:rPr>
            </w:pPr>
            <w:r>
              <w:rPr>
                <w:color w:val="000000" w:themeColor="text1"/>
                <w14:textFill>
                  <w14:solidFill>
                    <w14:schemeClr w14:val="tx1"/>
                  </w14:solidFill>
                </w14:textFill>
              </w:rPr>
              <w:t>Config#3-1</w:t>
            </w:r>
          </w:p>
          <w:p>
            <w:pPr>
              <w:rPr>
                <w:color w:val="000000" w:themeColor="text1"/>
                <w14:textFill>
                  <w14:solidFill>
                    <w14:schemeClr w14:val="tx1"/>
                  </w14:solidFill>
                </w14:textFill>
              </w:rPr>
            </w:pPr>
            <w:r>
              <w:rPr>
                <w:color w:val="000000" w:themeColor="text1"/>
                <w14:textFill>
                  <w14:solidFill>
                    <w14:schemeClr w14:val="tx1"/>
                  </w14:solidFill>
                </w14:textFill>
              </w:rPr>
              <w:t>(32 ports + 13 subbands)</w:t>
            </w:r>
          </w:p>
        </w:tc>
        <w:tc>
          <w:tcPr>
            <w:tcW w:w="2410"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0</w:t>
            </w:r>
            <w:r>
              <w:rPr>
                <w:color w:val="000000" w:themeColor="text1"/>
                <w14:textFill>
                  <w14:solidFill>
                    <w14:schemeClr w14:val="tx1"/>
                  </w14:solidFill>
                </w14:textFill>
              </w:rPr>
              <w:t>.9078/0.8483</w:t>
            </w:r>
          </w:p>
          <w:p>
            <w:pPr>
              <w:jc w:val="center"/>
              <w:rPr>
                <w:rFonts w:eastAsiaTheme="minor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0/0)</w:t>
            </w:r>
          </w:p>
        </w:tc>
        <w:tc>
          <w:tcPr>
            <w:tcW w:w="2268"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0</w:t>
            </w:r>
            <w:r>
              <w:rPr>
                <w:color w:val="000000" w:themeColor="text1"/>
                <w14:textFill>
                  <w14:solidFill>
                    <w14:schemeClr w14:val="tx1"/>
                  </w14:solidFill>
                </w14:textFill>
              </w:rPr>
              <w:t>.8997/0.8367</w:t>
            </w:r>
          </w:p>
          <w:p>
            <w:pPr>
              <w:jc w:val="center"/>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-0.89%/-1.37%)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000000" w:themeColor="text1"/>
                <w14:textFill>
                  <w14:solidFill>
                    <w14:schemeClr w14:val="tx1"/>
                  </w14:solidFill>
                </w14:textFill>
              </w:rPr>
            </w:pPr>
          </w:p>
        </w:tc>
        <w:tc>
          <w:tcPr>
            <w:tcW w:w="1417" w:type="dxa"/>
          </w:tcPr>
          <w:p>
            <w:pPr>
              <w:rPr>
                <w:color w:val="000000" w:themeColor="text1"/>
                <w14:textFill>
                  <w14:solidFill>
                    <w14:schemeClr w14:val="tx1"/>
                  </w14:solidFill>
                </w14:textFill>
              </w:rPr>
            </w:pPr>
            <w:r>
              <w:rPr>
                <w:color w:val="000000" w:themeColor="text1"/>
                <w14:textFill>
                  <w14:solidFill>
                    <w14:schemeClr w14:val="tx1"/>
                  </w14:solidFill>
                </w14:textFill>
              </w:rPr>
              <w:t>Config#3-2</w:t>
            </w:r>
          </w:p>
          <w:p>
            <w:pPr>
              <w:rPr>
                <w:color w:val="000000" w:themeColor="text1"/>
                <w14:textFill>
                  <w14:solidFill>
                    <w14:schemeClr w14:val="tx1"/>
                  </w14:solidFill>
                </w14:textFill>
              </w:rPr>
            </w:pPr>
            <w:r>
              <w:rPr>
                <w:color w:val="000000" w:themeColor="text1"/>
                <w14:textFill>
                  <w14:solidFill>
                    <w14:schemeClr w14:val="tx1"/>
                  </w14:solidFill>
                </w14:textFill>
              </w:rPr>
              <w:t>(32 ports + 10 subbands)</w:t>
            </w:r>
          </w:p>
        </w:tc>
        <w:tc>
          <w:tcPr>
            <w:tcW w:w="2410"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0</w:t>
            </w:r>
            <w:r>
              <w:rPr>
                <w:color w:val="000000" w:themeColor="text1"/>
                <w14:textFill>
                  <w14:solidFill>
                    <w14:schemeClr w14:val="tx1"/>
                  </w14:solidFill>
                </w14:textFill>
              </w:rPr>
              <w:t>.9241/0.8656</w:t>
            </w:r>
          </w:p>
          <w:p>
            <w:pPr>
              <w:spacing w:after="0"/>
              <w:jc w:val="center"/>
              <w:rPr>
                <w:rFonts w:eastAsiaTheme="minor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0/0)</w:t>
            </w:r>
          </w:p>
        </w:tc>
        <w:tc>
          <w:tcPr>
            <w:tcW w:w="2268"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0</w:t>
            </w:r>
            <w:r>
              <w:rPr>
                <w:color w:val="000000" w:themeColor="text1"/>
                <w14:textFill>
                  <w14:solidFill>
                    <w14:schemeClr w14:val="tx1"/>
                  </w14:solidFill>
                </w14:textFill>
              </w:rPr>
              <w:t>.9133/0.8593</w:t>
            </w:r>
          </w:p>
          <w:p>
            <w:pPr>
              <w:spacing w:after="0"/>
              <w:jc w:val="center"/>
              <w:rPr>
                <w:rFonts w:eastAsiaTheme="minor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-1.17%/-0.73%)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000000" w:themeColor="text1"/>
                <w14:textFill>
                  <w14:solidFill>
                    <w14:schemeClr w14:val="tx1"/>
                  </w14:solidFill>
                </w14:textFill>
              </w:rPr>
            </w:pPr>
          </w:p>
        </w:tc>
        <w:tc>
          <w:tcPr>
            <w:tcW w:w="1417" w:type="dxa"/>
          </w:tcPr>
          <w:p>
            <w:pPr>
              <w:rPr>
                <w:color w:val="000000" w:themeColor="text1"/>
                <w14:textFill>
                  <w14:solidFill>
                    <w14:schemeClr w14:val="tx1"/>
                  </w14:solidFill>
                </w14:textFill>
              </w:rPr>
            </w:pPr>
            <w:r>
              <w:rPr>
                <w:color w:val="000000" w:themeColor="text1"/>
                <w14:textFill>
                  <w14:solidFill>
                    <w14:schemeClr w14:val="tx1"/>
                  </w14:solidFill>
                </w14:textFill>
              </w:rPr>
              <w:t>Config#3-3</w:t>
            </w:r>
          </w:p>
          <w:p>
            <w:pPr>
              <w:rPr>
                <w:color w:val="000000" w:themeColor="text1"/>
                <w14:textFill>
                  <w14:solidFill>
                    <w14:schemeClr w14:val="tx1"/>
                  </w14:solidFill>
                </w14:textFill>
              </w:rPr>
            </w:pPr>
            <w:r>
              <w:rPr>
                <w:color w:val="000000" w:themeColor="text1"/>
                <w14:textFill>
                  <w14:solidFill>
                    <w14:schemeClr w14:val="tx1"/>
                  </w14:solidFill>
                </w14:textFill>
              </w:rPr>
              <w:t>(16 ports + 13 subbands)</w:t>
            </w:r>
          </w:p>
        </w:tc>
        <w:tc>
          <w:tcPr>
            <w:tcW w:w="2410"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0</w:t>
            </w:r>
            <w:r>
              <w:rPr>
                <w:color w:val="000000" w:themeColor="text1"/>
                <w14:textFill>
                  <w14:solidFill>
                    <w14:schemeClr w14:val="tx1"/>
                  </w14:solidFill>
                </w14:textFill>
              </w:rPr>
              <w:t>.9518/0.9080</w:t>
            </w:r>
          </w:p>
          <w:p>
            <w:pPr>
              <w:jc w:val="center"/>
              <w:rPr>
                <w:rFonts w:eastAsiaTheme="minor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0/0)</w:t>
            </w:r>
          </w:p>
        </w:tc>
        <w:tc>
          <w:tcPr>
            <w:tcW w:w="2268"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0</w:t>
            </w:r>
            <w:r>
              <w:rPr>
                <w:color w:val="000000" w:themeColor="text1"/>
                <w14:textFill>
                  <w14:solidFill>
                    <w14:schemeClr w14:val="tx1"/>
                  </w14:solidFill>
                </w14:textFill>
              </w:rPr>
              <w:t>.9418/0.8972</w:t>
            </w:r>
          </w:p>
          <w:p>
            <w:pPr>
              <w:jc w:val="center"/>
              <w:rPr>
                <w:rFonts w:eastAsiaTheme="minor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-1.05%/-1.19%)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000000" w:themeColor="text1"/>
                <w14:textFill>
                  <w14:solidFill>
                    <w14:schemeClr w14:val="tx1"/>
                  </w14:solidFill>
                </w14:textFill>
              </w:rPr>
            </w:pPr>
          </w:p>
        </w:tc>
        <w:tc>
          <w:tcPr>
            <w:tcW w:w="1417" w:type="dxa"/>
          </w:tcPr>
          <w:p>
            <w:pPr>
              <w:rPr>
                <w:color w:val="000000" w:themeColor="text1"/>
                <w14:textFill>
                  <w14:solidFill>
                    <w14:schemeClr w14:val="tx1"/>
                  </w14:solidFill>
                </w14:textFill>
              </w:rPr>
            </w:pPr>
            <w:r>
              <w:rPr>
                <w:color w:val="000000" w:themeColor="text1"/>
                <w14:textFill>
                  <w14:solidFill>
                    <w14:schemeClr w14:val="tx1"/>
                  </w14:solidFill>
                </w14:textFill>
              </w:rPr>
              <w:t>Config#3-4</w:t>
            </w:r>
          </w:p>
          <w:p>
            <w:pPr>
              <w:rPr>
                <w:color w:val="000000" w:themeColor="text1"/>
                <w14:textFill>
                  <w14:solidFill>
                    <w14:schemeClr w14:val="tx1"/>
                  </w14:solidFill>
                </w14:textFill>
              </w:rPr>
            </w:pPr>
            <w:r>
              <w:rPr>
                <w:color w:val="000000" w:themeColor="text1"/>
                <w14:textFill>
                  <w14:solidFill>
                    <w14:schemeClr w14:val="tx1"/>
                  </w14:solidFill>
                </w14:textFill>
              </w:rPr>
              <w:t>(16 ports + 10 subbands)</w:t>
            </w:r>
          </w:p>
        </w:tc>
        <w:tc>
          <w:tcPr>
            <w:tcW w:w="2410"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0</w:t>
            </w:r>
            <w:r>
              <w:rPr>
                <w:color w:val="000000" w:themeColor="text1"/>
                <w14:textFill>
                  <w14:solidFill>
                    <w14:schemeClr w14:val="tx1"/>
                  </w14:solidFill>
                </w14:textFill>
              </w:rPr>
              <w:t>.9634/0.9312</w:t>
            </w:r>
          </w:p>
          <w:p>
            <w:pPr>
              <w:spacing w:after="0"/>
              <w:jc w:val="center"/>
              <w:rPr>
                <w:rFonts w:eastAsiaTheme="minor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0/0)</w:t>
            </w:r>
          </w:p>
        </w:tc>
        <w:tc>
          <w:tcPr>
            <w:tcW w:w="2268"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0</w:t>
            </w:r>
            <w:r>
              <w:rPr>
                <w:color w:val="000000" w:themeColor="text1"/>
                <w14:textFill>
                  <w14:solidFill>
                    <w14:schemeClr w14:val="tx1"/>
                  </w14:solidFill>
                </w14:textFill>
              </w:rPr>
              <w:t>.9538/0.9194</w:t>
            </w:r>
          </w:p>
          <w:p>
            <w:pPr>
              <w:spacing w:after="0"/>
              <w:jc w:val="center"/>
              <w:rPr>
                <w:rFonts w:eastAsiaTheme="minor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-0.99%/-1.27%)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830" w:type="dxa"/>
            <w:gridSpan w:val="2"/>
          </w:tcPr>
          <w:p>
            <w:pPr>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A</w:t>
            </w:r>
            <w:r>
              <w:rPr>
                <w:rFonts w:eastAsiaTheme="minorEastAsia"/>
                <w:color w:val="000000" w:themeColor="text1"/>
                <w14:textFill>
                  <w14:solidFill>
                    <w14:schemeClr w14:val="tx1"/>
                  </w14:solidFill>
                </w14:textFill>
              </w:rPr>
              <w:t>verage SGCS Gain</w:t>
            </w:r>
            <w:r>
              <w:rPr>
                <w:rFonts w:hint="eastAsia" w:eastAsiaTheme="minorEastAsia"/>
                <w:color w:val="000000" w:themeColor="text1"/>
                <w14:textFill>
                  <w14:solidFill>
                    <w14:schemeClr w14:val="tx1"/>
                  </w14:solidFill>
                </w14:textFill>
              </w:rPr>
              <w:t xml:space="preserve"> </w:t>
            </w:r>
            <w:r>
              <w:rPr>
                <w:rFonts w:eastAsiaTheme="minorEastAsia"/>
                <w:color w:val="000000" w:themeColor="text1"/>
                <w14:textFill>
                  <w14:solidFill>
                    <w14:schemeClr w14:val="tx1"/>
                  </w14:solidFill>
                </w14:textFill>
              </w:rPr>
              <w:t>over Config#3</w:t>
            </w:r>
          </w:p>
        </w:tc>
        <w:tc>
          <w:tcPr>
            <w:tcW w:w="2410"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0/0</w:t>
            </w:r>
          </w:p>
        </w:tc>
        <w:tc>
          <w:tcPr>
            <w:tcW w:w="226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-1.0%/-1.1%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30" w:type="dxa"/>
            <w:gridSpan w:val="2"/>
          </w:tcPr>
          <w:p>
            <w:pPr>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N</w:t>
            </w:r>
            <w:r>
              <w:rPr>
                <w:rFonts w:eastAsiaTheme="minorEastAsia"/>
                <w:color w:val="000000" w:themeColor="text1"/>
                <w14:textFill>
                  <w14:solidFill>
                    <w14:schemeClr w14:val="tx1"/>
                  </w14:solidFill>
                </w14:textFill>
              </w:rPr>
              <w:t>umber of model parameters</w:t>
            </w:r>
          </w:p>
        </w:tc>
        <w:tc>
          <w:tcPr>
            <w:tcW w:w="2410" w:type="dxa"/>
          </w:tcPr>
          <w:p>
            <w:pPr>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8.351M</w:t>
            </w:r>
          </w:p>
        </w:tc>
        <w:tc>
          <w:tcPr>
            <w:tcW w:w="2268" w:type="dxa"/>
          </w:tcPr>
          <w:p>
            <w:pPr>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4.936M</w:t>
            </w:r>
          </w:p>
        </w:tc>
      </w:tr>
    </w:tbl>
    <w:p>
      <w:pPr>
        <w:overflowPunct w:val="0"/>
        <w:snapToGrid w:val="0"/>
        <w:spacing w:before="72" w:beforeLines="30" w:after="72" w:afterLines="30" w:line="288" w:lineRule="auto"/>
        <w:jc w:val="both"/>
        <w:rPr>
          <w:rFonts w:eastAsiaTheme="minorEastAsia"/>
          <w:bCs/>
          <w:i/>
          <w:color w:val="000000" w:themeColor="text1"/>
          <w:lang w:val="en-GB"/>
          <w14:textFill>
            <w14:solidFill>
              <w14:schemeClr w14:val="tx1"/>
            </w14:solidFill>
          </w14:textFill>
        </w:rPr>
      </w:pPr>
      <w:r>
        <w:rPr>
          <w:rFonts w:eastAsiaTheme="minorEastAsia"/>
          <w:b/>
          <w:i/>
          <w:color w:val="000000" w:themeColor="text1"/>
          <w:lang w:val="en-GB"/>
          <w14:textFill>
            <w14:solidFill>
              <w14:schemeClr w14:val="tx1"/>
            </w14:solidFill>
          </w14:textFill>
        </w:rPr>
        <w:t xml:space="preserve">Observation </w:t>
      </w:r>
      <w:r>
        <w:rPr>
          <w:rFonts w:hint="eastAsia" w:eastAsiaTheme="minorEastAsia"/>
          <w:b/>
          <w:i/>
          <w:color w:val="000000" w:themeColor="text1"/>
          <w:lang w:val="en-US" w:eastAsia="zh-CN"/>
          <w14:textFill>
            <w14:solidFill>
              <w14:schemeClr w14:val="tx1"/>
            </w14:solidFill>
          </w14:textFill>
        </w:rPr>
        <w:t>9</w:t>
      </w:r>
      <w:r>
        <w:rPr>
          <w:rFonts w:eastAsiaTheme="minorEastAsia"/>
          <w:b/>
          <w:i/>
          <w:color w:val="000000" w:themeColor="text1"/>
          <w:lang w:val="en-GB"/>
          <w14:textFill>
            <w14:solidFill>
              <w14:schemeClr w14:val="tx1"/>
            </w14:solidFill>
          </w14:textFill>
        </w:rPr>
        <w:t xml:space="preserve">: </w:t>
      </w:r>
      <w:r>
        <w:rPr>
          <w:rFonts w:eastAsiaTheme="minorEastAsia"/>
          <w:bCs/>
          <w:i/>
          <w:color w:val="000000" w:themeColor="text1"/>
          <w:lang w:val="en-GB"/>
          <w14:textFill>
            <w14:solidFill>
              <w14:schemeClr w14:val="tx1"/>
            </w14:solidFill>
          </w14:textFill>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pPr>
        <w:overflowPunct w:val="0"/>
        <w:snapToGrid w:val="0"/>
        <w:spacing w:before="72" w:beforeLines="30" w:after="72" w:afterLines="30" w:line="288" w:lineRule="auto"/>
        <w:jc w:val="both"/>
        <w:rPr>
          <w:rFonts w:eastAsiaTheme="minorEastAsia"/>
          <w:bCs/>
          <w:i/>
          <w:color w:val="000000" w:themeColor="text1"/>
          <w:lang w:val="en-GB"/>
          <w14:textFill>
            <w14:solidFill>
              <w14:schemeClr w14:val="tx1"/>
            </w14:solidFill>
          </w14:textFill>
        </w:rPr>
      </w:pPr>
      <w:r>
        <w:rPr>
          <w:rFonts w:eastAsiaTheme="minorEastAsia"/>
          <w:b/>
          <w:i/>
          <w:color w:val="000000" w:themeColor="text1"/>
          <w:lang w:val="en-GB"/>
          <w14:textFill>
            <w14:solidFill>
              <w14:schemeClr w14:val="tx1"/>
            </w14:solidFill>
          </w14:textFill>
        </w:rPr>
        <w:t xml:space="preserve">Observation </w:t>
      </w:r>
      <w:r>
        <w:rPr>
          <w:rFonts w:hint="eastAsia" w:eastAsiaTheme="minorEastAsia"/>
          <w:b/>
          <w:i/>
          <w:color w:val="000000" w:themeColor="text1"/>
          <w:lang w:val="en-US" w:eastAsia="zh-CN"/>
          <w14:textFill>
            <w14:solidFill>
              <w14:schemeClr w14:val="tx1"/>
            </w14:solidFill>
          </w14:textFill>
        </w:rPr>
        <w:t>10</w:t>
      </w:r>
      <w:r>
        <w:rPr>
          <w:rFonts w:eastAsiaTheme="minorEastAsia"/>
          <w:b/>
          <w:i/>
          <w:color w:val="000000" w:themeColor="text1"/>
          <w:lang w:val="en-GB"/>
          <w14:textFill>
            <w14:solidFill>
              <w14:schemeClr w14:val="tx1"/>
            </w14:solidFill>
          </w14:textFill>
        </w:rPr>
        <w:t>:</w:t>
      </w:r>
      <w:r>
        <w:rPr>
          <w:rFonts w:eastAsiaTheme="minorEastAsia"/>
          <w:bCs/>
          <w:i/>
          <w:color w:val="000000" w:themeColor="text1"/>
          <w:lang w:val="en-GB"/>
          <w14:textFill>
            <w14:solidFill>
              <w14:schemeClr w14:val="tx1"/>
            </w14:solidFill>
          </w14:textFill>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pPr>
        <w:overflowPunct w:val="0"/>
        <w:snapToGrid w:val="0"/>
        <w:spacing w:before="72" w:beforeLines="30" w:after="72" w:afterLines="30" w:line="288" w:lineRule="auto"/>
        <w:jc w:val="both"/>
        <w:rPr>
          <w:rFonts w:eastAsiaTheme="minorEastAsia"/>
          <w:bCs/>
          <w:i/>
          <w:color w:val="000000" w:themeColor="text1"/>
          <w14:textFill>
            <w14:solidFill>
              <w14:schemeClr w14:val="tx1"/>
            </w14:solidFill>
          </w14:textFill>
        </w:rPr>
      </w:pPr>
      <w:r>
        <w:rPr>
          <w:rFonts w:eastAsiaTheme="minorEastAsia"/>
          <w:b/>
          <w:i/>
          <w:color w:val="000000" w:themeColor="text1"/>
          <w:lang w:val="en-GB"/>
          <w14:textFill>
            <w14:solidFill>
              <w14:schemeClr w14:val="tx1"/>
            </w14:solidFill>
          </w14:textFill>
        </w:rPr>
        <w:t xml:space="preserve">Observation </w:t>
      </w:r>
      <w:r>
        <w:rPr>
          <w:rFonts w:hint="eastAsia" w:eastAsiaTheme="minorEastAsia"/>
          <w:b/>
          <w:i/>
          <w:color w:val="000000" w:themeColor="text1"/>
          <w:lang w:val="en-US" w:eastAsia="zh-CN"/>
          <w14:textFill>
            <w14:solidFill>
              <w14:schemeClr w14:val="tx1"/>
            </w14:solidFill>
          </w14:textFill>
        </w:rPr>
        <w:t>11</w:t>
      </w:r>
      <w:r>
        <w:rPr>
          <w:rFonts w:eastAsiaTheme="minorEastAsia"/>
          <w:b/>
          <w:i/>
          <w:color w:val="000000" w:themeColor="text1"/>
          <w:lang w:val="en-GB"/>
          <w14:textFill>
            <w14:solidFill>
              <w14:schemeClr w14:val="tx1"/>
            </w14:solidFill>
          </w14:textFill>
        </w:rPr>
        <w:t>:</w:t>
      </w:r>
      <w:r>
        <w:rPr>
          <w:rFonts w:eastAsiaTheme="minorEastAsia"/>
          <w:bCs/>
          <w:i/>
          <w:color w:val="000000" w:themeColor="text1"/>
          <w:lang w:val="en-GB"/>
          <w14:textFill>
            <w14:solidFill>
              <w14:schemeClr w14:val="tx1"/>
            </w14:solidFill>
          </w14:textFill>
        </w:rPr>
        <w:t xml:space="preserve"> </w:t>
      </w:r>
      <w:r>
        <w:rPr>
          <w:rFonts w:hint="eastAsia" w:eastAsia="宋体"/>
          <w:i/>
          <w:color w:val="000000" w:themeColor="text1"/>
          <w:lang w:val="en-GB"/>
          <w14:textFill>
            <w14:solidFill>
              <w14:schemeClr w14:val="tx1"/>
            </w14:solidFill>
          </w14:textFill>
        </w:rPr>
        <w:t>For scalability over the token dimension, Alt 2 (padding at the input) is a simple way to operate and incurs minor performance degradation compared with the dedicated model design</w:t>
      </w:r>
      <w:r>
        <w:rPr>
          <w:rFonts w:hint="eastAsia" w:eastAsia="宋体"/>
          <w:i/>
          <w:color w:val="000000" w:themeColor="text1"/>
          <w14:textFill>
            <w14:solidFill>
              <w14:schemeClr w14:val="tx1"/>
            </w14:solidFill>
          </w14:textFill>
        </w:rPr>
        <w:t>.</w:t>
      </w:r>
    </w:p>
    <w:p>
      <w:pPr>
        <w:overflowPunct w:val="0"/>
        <w:snapToGrid w:val="0"/>
        <w:spacing w:before="72" w:beforeLines="30" w:after="72" w:afterLines="30" w:line="288" w:lineRule="auto"/>
        <w:jc w:val="both"/>
        <w:rPr>
          <w:rFonts w:eastAsiaTheme="minorEastAsia"/>
          <w:b/>
          <w:i/>
          <w:color w:val="000000" w:themeColor="text1"/>
          <w:lang w:val="en-GB"/>
          <w14:textFill>
            <w14:solidFill>
              <w14:schemeClr w14:val="tx1"/>
            </w14:solidFill>
          </w14:textFill>
        </w:rPr>
      </w:pPr>
      <w:r>
        <w:rPr>
          <w:rFonts w:hint="eastAsia" w:eastAsiaTheme="minorEastAsia"/>
          <w:b/>
          <w:i/>
          <w:color w:val="000000" w:themeColor="text1"/>
          <w:lang w:val="en-GB"/>
          <w14:textFill>
            <w14:solidFill>
              <w14:schemeClr w14:val="tx1"/>
            </w14:solidFill>
          </w14:textFill>
        </w:rPr>
        <w:t>O</w:t>
      </w:r>
      <w:r>
        <w:rPr>
          <w:rFonts w:eastAsiaTheme="minorEastAsia"/>
          <w:b/>
          <w:i/>
          <w:color w:val="000000" w:themeColor="text1"/>
          <w:lang w:val="en-GB"/>
          <w14:textFill>
            <w14:solidFill>
              <w14:schemeClr w14:val="tx1"/>
            </w14:solidFill>
          </w14:textFill>
        </w:rPr>
        <w:t xml:space="preserve">bservation </w:t>
      </w:r>
      <w:r>
        <w:rPr>
          <w:rFonts w:hint="eastAsia" w:eastAsiaTheme="minorEastAsia"/>
          <w:b/>
          <w:i/>
          <w:color w:val="000000" w:themeColor="text1"/>
          <w:lang w:val="en-US" w:eastAsia="zh-CN"/>
          <w14:textFill>
            <w14:solidFill>
              <w14:schemeClr w14:val="tx1"/>
            </w14:solidFill>
          </w14:textFill>
        </w:rPr>
        <w:t>12</w:t>
      </w:r>
      <w:r>
        <w:rPr>
          <w:rFonts w:eastAsiaTheme="minorEastAsia"/>
          <w:b/>
          <w:i/>
          <w:color w:val="000000" w:themeColor="text1"/>
          <w:lang w:val="en-GB"/>
          <w14:textFill>
            <w14:solidFill>
              <w14:schemeClr w14:val="tx1"/>
            </w14:solidFill>
          </w14:textFill>
        </w:rPr>
        <w:t xml:space="preserve">: </w:t>
      </w:r>
      <w:r>
        <w:rPr>
          <w:rFonts w:eastAsiaTheme="minorEastAsia"/>
          <w:bCs/>
          <w:i/>
          <w:color w:val="000000" w:themeColor="text1"/>
          <w:lang w:val="en-GB"/>
          <w14:textFill>
            <w14:solidFill>
              <w14:schemeClr w14:val="tx1"/>
            </w14:solidFill>
          </w14:textFill>
        </w:rPr>
        <w:t>For scalability over payload configurations, compared with Alt 1 (specific output linear layer for each payload configuration), Alt 2 (truncation/masking of the output linear layer output) can reduce number of model parameters by over 40%</w:t>
      </w:r>
      <w:r>
        <w:rPr>
          <w:rFonts w:hint="eastAsia" w:eastAsiaTheme="minorEastAsia"/>
          <w:bCs/>
          <w:i/>
          <w:color w:val="000000" w:themeColor="text1"/>
          <w14:textFill>
            <w14:solidFill>
              <w14:schemeClr w14:val="tx1"/>
            </w14:solidFill>
          </w14:textFill>
        </w:rPr>
        <w:t xml:space="preserve"> with </w:t>
      </w:r>
      <w:r>
        <w:rPr>
          <w:rFonts w:eastAsiaTheme="minorEastAsia"/>
          <w:bCs/>
          <w:i/>
          <w:color w:val="000000" w:themeColor="text1"/>
          <w:lang w:val="en-GB"/>
          <w14:textFill>
            <w14:solidFill>
              <w14:schemeClr w14:val="tx1"/>
            </w14:solidFill>
          </w14:textFill>
        </w:rPr>
        <w:t>only around 1% SGCS degradation for two layers.</w:t>
      </w:r>
    </w:p>
    <w:p>
      <w:pPr>
        <w:pStyle w:val="147"/>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model structure scalability study for temporal domain Case 0, further consider</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For the choice of token dimension and feature dimension,</w:t>
      </w:r>
    </w:p>
    <w:p>
      <w:pPr>
        <w:numPr>
          <w:ilvl w:val="1"/>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Alt 1: Use subband as the token dimension and Tx port as a feature dimension</w:t>
      </w:r>
    </w:p>
    <w:p>
      <w:pPr>
        <w:numPr>
          <w:ilvl w:val="2"/>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The number of tokens varies with the number of subbands.</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 xml:space="preserve">For scalability over the feature dimension, </w:t>
      </w:r>
    </w:p>
    <w:p>
      <w:pPr>
        <w:numPr>
          <w:ilvl w:val="1"/>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Alt 2: A common embedding layer with padding</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 xml:space="preserve">For scalability over the token dimension, </w:t>
      </w:r>
    </w:p>
    <w:p>
      <w:pPr>
        <w:numPr>
          <w:ilvl w:val="1"/>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Alt 2: Padding at the input</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For scalability over payload configurations,</w:t>
      </w:r>
    </w:p>
    <w:p>
      <w:pPr>
        <w:numPr>
          <w:ilvl w:val="1"/>
          <w:numId w:val="18"/>
        </w:numPr>
        <w:overflowPunct w:val="0"/>
        <w:autoSpaceDE w:val="0"/>
        <w:autoSpaceDN w:val="0"/>
        <w:adjustRightInd w:val="0"/>
        <w:snapToGrid w:val="0"/>
        <w:spacing w:before="72" w:beforeLines="30" w:after="72" w:afterLines="30" w:line="288" w:lineRule="auto"/>
        <w:jc w:val="both"/>
        <w:textAlignment w:val="baseline"/>
        <w:rPr>
          <w:rFonts w:eastAsiaTheme="minorEastAsia"/>
          <w:i/>
          <w:color w:val="000000" w:themeColor="text1"/>
          <w14:textFill>
            <w14:solidFill>
              <w14:schemeClr w14:val="tx1"/>
            </w14:solidFill>
          </w14:textFill>
        </w:rPr>
      </w:pPr>
      <w:r>
        <w:rPr>
          <w:rFonts w:eastAsia="Times New Roman"/>
          <w:i/>
          <w:color w:val="000000" w:themeColor="text1"/>
          <w:lang w:val="en-GB"/>
          <w14:textFill>
            <w14:solidFill>
              <w14:schemeClr w14:val="tx1"/>
            </w14:solidFill>
          </w14:textFill>
        </w:rPr>
        <w:t>Alt 2: Truncation/masking of the output linear layer output</w:t>
      </w:r>
      <w:bookmarkStart w:id="15" w:name="_Hlk162705016"/>
      <w:bookmarkStart w:id="16" w:name="_Hlk166145881"/>
      <w:bookmarkStart w:id="17" w:name="_Hlk158196058"/>
    </w:p>
    <w:p>
      <w:pPr>
        <w:pStyle w:val="147"/>
        <w:numPr>
          <w:ilvl w:val="-1"/>
          <w:numId w:val="0"/>
        </w:numPr>
        <w:snapToGrid w:val="0"/>
        <w:spacing w:before="72" w:after="72"/>
        <w:jc w:val="both"/>
        <w:rPr>
          <w:color w:val="000000" w:themeColor="text1"/>
          <w14:textFill>
            <w14:solidFill>
              <w14:schemeClr w14:val="tx1"/>
            </w14:solidFill>
          </w14:textFill>
        </w:rPr>
      </w:pPr>
    </w:p>
    <w:bookmarkEnd w:id="15"/>
    <w:bookmarkEnd w:id="16"/>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color w:val="000000" w:themeColor="text1"/>
          <w:sz w:val="28"/>
          <w:szCs w:val="28"/>
          <w14:textFill>
            <w14:solidFill>
              <w14:schemeClr w14:val="tx1"/>
            </w14:solidFill>
          </w14:textFill>
        </w:rPr>
      </w:pPr>
      <w:r>
        <w:rPr>
          <w:rFonts w:hint="eastAsia" w:eastAsia="宋体"/>
          <w:b/>
          <w:color w:val="000000" w:themeColor="text1"/>
          <w:sz w:val="28"/>
          <w:szCs w:val="28"/>
          <w14:textFill>
            <w14:solidFill>
              <w14:schemeClr w14:val="tx1"/>
            </w14:solidFill>
          </w14:textFill>
        </w:rPr>
        <w:t>Remaining issues for AI/ML CSI compression</w:t>
      </w:r>
    </w:p>
    <w:bookmarkEnd w:id="17"/>
    <w:p>
      <w:pPr>
        <w:numPr>
          <w:ilvl w:val="1"/>
          <w:numId w:val="10"/>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Data collection</w:t>
      </w:r>
    </w:p>
    <w:p>
      <w:pPr>
        <w:numPr>
          <w:ilvl w:val="255"/>
          <w:numId w:val="0"/>
        </w:numPr>
        <w:adjustRightInd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In RAN1#119 meeting, the necessity and feasibility of ground-truth reporting for NW-side data collection for training</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were confirmed and the following agreement was reache</w:t>
      </w:r>
      <w:r>
        <w:rPr>
          <w:rFonts w:hint="eastAsia" w:eastAsia="宋体"/>
          <w:color w:val="000000" w:themeColor="text1"/>
          <w14:textFill>
            <w14:solidFill>
              <w14:schemeClr w14:val="tx1"/>
            </w14:solidFill>
          </w14:textFill>
        </w:rPr>
        <w:t>d</w:t>
      </w:r>
      <w:r>
        <w:rPr>
          <w:rFonts w:hint="eastAsia"/>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Additionally, it was agreed to further study the specification impacts of UE-side data collection such as UE request for data collection and CSI-RS enhancements.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before="72" w:beforeLines="30" w:after="72" w:afterLines="30" w:line="288" w:lineRule="auto"/>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Agreement</w:t>
            </w:r>
          </w:p>
          <w:p>
            <w:pPr>
              <w:overflowPunct w:val="0"/>
              <w:autoSpaceDE w:val="0"/>
              <w:autoSpaceDN w:val="0"/>
              <w:adjustRightInd w:val="0"/>
              <w:snapToGrid w:val="0"/>
              <w:spacing w:before="72" w:beforeLines="30" w:after="72" w:afterLines="30" w:line="288" w:lineRule="auto"/>
              <w:jc w:val="both"/>
              <w:textAlignment w:val="baseline"/>
              <w:rPr>
                <w:rFonts w:eastAsia="宋体"/>
                <w:color w:val="000000" w:themeColor="text1"/>
                <w:szCs w:val="20"/>
                <w:lang w:eastAsia="en-US"/>
                <w14:textFill>
                  <w14:solidFill>
                    <w14:schemeClr w14:val="tx1"/>
                  </w14:solidFill>
                </w14:textFill>
              </w:rPr>
            </w:pPr>
            <w:r>
              <w:rPr>
                <w:rFonts w:eastAsia="宋体"/>
                <w:color w:val="000000" w:themeColor="text1"/>
                <w:szCs w:val="20"/>
                <w:lang w:eastAsia="en-US"/>
                <w14:textFill>
                  <w14:solidFill>
                    <w14:schemeClr w14:val="tx1"/>
                  </w14:solidFill>
                </w14:textFill>
              </w:rPr>
              <w:t>For NW</w:t>
            </w:r>
            <w:r>
              <w:rPr>
                <w:rFonts w:hint="eastAsia" w:eastAsia="等线"/>
                <w:color w:val="000000" w:themeColor="text1"/>
                <w:szCs w:val="20"/>
                <w14:textFill>
                  <w14:solidFill>
                    <w14:schemeClr w14:val="tx1"/>
                  </w14:solidFill>
                </w14:textFill>
              </w:rPr>
              <w:t xml:space="preserve"> to collect data for training</w:t>
            </w:r>
            <w:r>
              <w:rPr>
                <w:rFonts w:eastAsia="宋体"/>
                <w:color w:val="000000" w:themeColor="text1"/>
                <w:szCs w:val="20"/>
                <w:lang w:eastAsia="en-US"/>
                <w14:textFill>
                  <w14:solidFill>
                    <w14:schemeClr w14:val="tx1"/>
                  </w14:solidFill>
                </w14:textFill>
              </w:rPr>
              <w:t xml:space="preserve">, </w:t>
            </w:r>
            <w:r>
              <w:rPr>
                <w:rFonts w:hint="eastAsia" w:eastAsia="等线"/>
                <w:color w:val="000000" w:themeColor="text1"/>
                <w:szCs w:val="20"/>
                <w14:textFill>
                  <w14:solidFill>
                    <w14:schemeClr w14:val="tx1"/>
                  </w14:solidFill>
                </w14:textFill>
              </w:rPr>
              <w:t>study</w:t>
            </w:r>
            <w:r>
              <w:rPr>
                <w:rFonts w:eastAsia="宋体"/>
                <w:color w:val="000000" w:themeColor="text1"/>
                <w:szCs w:val="20"/>
                <w:lang w:eastAsia="en-US"/>
                <w14:textFill>
                  <w14:solidFill>
                    <w14:schemeClr w14:val="tx1"/>
                  </w14:solidFill>
                </w14:textFill>
              </w:rPr>
              <w:t xml:space="preserve"> following spec impacts</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Data format: codebook-based Rel-16 eType2 or Rel-18 eType2</w:t>
            </w:r>
            <w:r>
              <w:rPr>
                <w:rFonts w:hint="eastAsia" w:eastAsia="等线"/>
                <w:color w:val="000000" w:themeColor="text1"/>
                <w:lang w:val="en-GB"/>
                <w14:textFill>
                  <w14:solidFill>
                    <w14:schemeClr w14:val="tx1"/>
                  </w14:solidFill>
                </w14:textFill>
              </w:rPr>
              <w:t xml:space="preserve"> for PMI prediction</w:t>
            </w:r>
            <w:r>
              <w:rPr>
                <w:rFonts w:eastAsia="Calibri"/>
                <w:color w:val="000000" w:themeColor="text1"/>
                <w:lang w:val="en-GB" w:eastAsia="en-US"/>
                <w14:textFill>
                  <w14:solidFill>
                    <w14:schemeClr w14:val="tx1"/>
                  </w14:solidFill>
                </w14:textFill>
              </w:rPr>
              <w:t xml:space="preserve">. </w:t>
            </w:r>
          </w:p>
          <w:p>
            <w:pPr>
              <w:numPr>
                <w:ilvl w:val="1"/>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FFS if enhancement is needed</w:t>
            </w:r>
          </w:p>
          <w:p>
            <w:pPr>
              <w:numPr>
                <w:ilvl w:val="1"/>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 xml:space="preserve">FFS number of samples in the report. </w:t>
            </w:r>
          </w:p>
          <w:p>
            <w:pPr>
              <w:numPr>
                <w:ilvl w:val="1"/>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FFS whether channel or precoder is needed for temporal Cases 3</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Configuration of rank/layer, number of subbands</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Mechanism for ground-truth reporting</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hint="eastAsia" w:eastAsia="等线"/>
                <w:color w:val="000000" w:themeColor="text1"/>
                <w:lang w:val="en-GB"/>
                <w14:textFill>
                  <w14:solidFill>
                    <w14:schemeClr w14:val="tx1"/>
                  </w14:solidFill>
                </w14:textFill>
              </w:rPr>
              <w:t xml:space="preserve">FFS: </w:t>
            </w:r>
            <w:r>
              <w:rPr>
                <w:rFonts w:hint="eastAsia" w:eastAsia="Calibri"/>
                <w:color w:val="000000" w:themeColor="text1"/>
                <w:lang w:val="en-GB" w:eastAsia="en-US"/>
                <w14:textFill>
                  <w14:solidFill>
                    <w14:schemeClr w14:val="tx1"/>
                  </w14:solidFill>
                </w14:textFill>
              </w:rPr>
              <w:t xml:space="preserve">Report </w:t>
            </w:r>
            <w:r>
              <w:rPr>
                <w:rFonts w:eastAsia="Calibri"/>
                <w:color w:val="000000" w:themeColor="text1"/>
                <w:lang w:val="en-GB" w:eastAsia="en-US"/>
                <w14:textFill>
                  <w14:solidFill>
                    <w14:schemeClr w14:val="tx1"/>
                  </w14:solidFill>
                </w14:textFill>
              </w:rPr>
              <w:t>additional information regarding the samples, e.g., data</w:t>
            </w:r>
            <w:r>
              <w:rPr>
                <w:rFonts w:eastAsia="宋体"/>
                <w:color w:val="000000" w:themeColor="text1"/>
                <w:lang w:val="en-GB"/>
                <w14:textFill>
                  <w14:solidFill>
                    <w14:schemeClr w14:val="tx1"/>
                  </w14:solidFill>
                </w14:textFill>
              </w:rPr>
              <w:t xml:space="preserve"> quality</w:t>
            </w:r>
            <w:r>
              <w:rPr>
                <w:rFonts w:hint="eastAsia" w:eastAsia="宋体"/>
                <w:color w:val="000000" w:themeColor="text1"/>
                <w:lang w:val="en-GB"/>
                <w14:textFill>
                  <w14:solidFill>
                    <w14:schemeClr w14:val="tx1"/>
                  </w14:solidFill>
                </w14:textFill>
              </w:rPr>
              <w:t xml:space="preserve">, FFS the definition of </w:t>
            </w:r>
            <w:r>
              <w:rPr>
                <w:rFonts w:eastAsia="Calibri"/>
                <w:color w:val="000000" w:themeColor="text1"/>
                <w:lang w:val="en-GB" w:eastAsia="en-US"/>
                <w14:textFill>
                  <w14:solidFill>
                    <w14:schemeClr w14:val="tx1"/>
                  </w14:solidFill>
                </w14:textFill>
              </w:rPr>
              <w:t>data</w:t>
            </w:r>
            <w:r>
              <w:rPr>
                <w:rFonts w:eastAsia="宋体"/>
                <w:color w:val="000000" w:themeColor="text1"/>
                <w:lang w:val="en-GB"/>
                <w14:textFill>
                  <w14:solidFill>
                    <w14:schemeClr w14:val="tx1"/>
                  </w14:solidFill>
                </w14:textFill>
              </w:rPr>
              <w:t xml:space="preserve"> </w:t>
            </w:r>
            <w:r>
              <w:rPr>
                <w:rFonts w:hint="eastAsia" w:eastAsia="宋体"/>
                <w:color w:val="000000" w:themeColor="text1"/>
                <w:lang w:val="en-GB"/>
                <w14:textFill>
                  <w14:solidFill>
                    <w14:schemeClr w14:val="tx1"/>
                  </w14:solidFill>
                </w14:textFill>
              </w:rPr>
              <w:t xml:space="preserve">quality and </w:t>
            </w:r>
            <w:r>
              <w:rPr>
                <w:rFonts w:eastAsia="宋体"/>
                <w:color w:val="000000" w:themeColor="text1"/>
                <w:lang w:val="en-GB"/>
                <w14:textFill>
                  <w14:solidFill>
                    <w14:schemeClr w14:val="tx1"/>
                  </w14:solidFill>
                </w14:textFill>
              </w:rPr>
              <w:t>corresponding</w:t>
            </w:r>
            <w:r>
              <w:rPr>
                <w:rFonts w:hint="eastAsia" w:eastAsia="宋体"/>
                <w:color w:val="000000" w:themeColor="text1"/>
                <w:lang w:val="en-GB"/>
                <w14:textFill>
                  <w14:solidFill>
                    <w14:schemeClr w14:val="tx1"/>
                  </w14:solidFill>
                </w14:textFill>
              </w:rPr>
              <w:t xml:space="preserve"> parameters.</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FFS if enhancements in CSI-RS</w:t>
            </w:r>
            <w:r>
              <w:rPr>
                <w:rFonts w:hint="eastAsia" w:eastAsia="等线"/>
                <w:color w:val="000000" w:themeColor="text1"/>
                <w:lang w:val="en-GB"/>
                <w14:textFill>
                  <w14:solidFill>
                    <w14:schemeClr w14:val="tx1"/>
                  </w14:solidFill>
                </w14:textFill>
              </w:rPr>
              <w:t xml:space="preserve"> and SRS</w:t>
            </w:r>
            <w:r>
              <w:rPr>
                <w:rFonts w:eastAsia="Calibri"/>
                <w:color w:val="000000" w:themeColor="text1"/>
                <w:lang w:val="en-GB" w:eastAsia="en-US"/>
                <w14:textFill>
                  <w14:solidFill>
                    <w14:schemeClr w14:val="tx1"/>
                  </w14:solidFill>
                </w14:textFill>
              </w:rPr>
              <w:t xml:space="preserve"> configuration is needed. </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FFS: Report associated information that captures UE side additional condition</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FFS: Configuration / reporting of temporal aspects for temporal Case 2 and Case 3, e.g., association between input and output CSI</w:t>
            </w:r>
          </w:p>
          <w:p>
            <w:pPr>
              <w:numPr>
                <w:ilvl w:val="0"/>
                <w:numId w:val="26"/>
              </w:numPr>
              <w:suppressAutoHyphens/>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eastAsia="等线"/>
                <w:color w:val="000000" w:themeColor="text1"/>
                <w:lang w:val="en-GB"/>
                <w14:textFill>
                  <w14:solidFill>
                    <w14:schemeClr w14:val="tx1"/>
                  </w14:solidFill>
                </w14:textFill>
              </w:rPr>
              <w:t>FFS: details of CSI measurement</w:t>
            </w:r>
          </w:p>
          <w:p>
            <w:pPr>
              <w:tabs>
                <w:tab w:val="left" w:pos="0"/>
              </w:tabs>
              <w:suppressAutoHyphens/>
              <w:adjustRightInd w:val="0"/>
              <w:snapToGrid w:val="0"/>
              <w:spacing w:before="72" w:beforeLines="30" w:after="72" w:afterLines="30" w:line="288" w:lineRule="auto"/>
              <w:jc w:val="both"/>
              <w:rPr>
                <w:rFonts w:eastAsia="等线"/>
                <w:color w:val="000000" w:themeColor="text1"/>
                <w:lang w:val="en-GB"/>
                <w14:textFill>
                  <w14:solidFill>
                    <w14:schemeClr w14:val="tx1"/>
                  </w14:solidFill>
                </w14:textFill>
              </w:rPr>
            </w:pPr>
          </w:p>
          <w:p>
            <w:pPr>
              <w:adjustRightInd w:val="0"/>
              <w:snapToGrid w:val="0"/>
              <w:spacing w:before="72" w:beforeLines="30" w:after="72" w:afterLines="30" w:line="288" w:lineRule="auto"/>
              <w:jc w:val="both"/>
              <w:rPr>
                <w:rFonts w:eastAsia="等线"/>
                <w:color w:val="000000" w:themeColor="text1"/>
                <w:lang w:val="en-GB"/>
                <w14:textFill>
                  <w14:solidFill>
                    <w14:schemeClr w14:val="tx1"/>
                  </w14:solidFill>
                </w14:textFill>
              </w:rPr>
            </w:pPr>
            <w:r>
              <w:rPr>
                <w:b/>
                <w:color w:val="000000" w:themeColor="text1"/>
                <w:u w:val="single"/>
                <w14:textFill>
                  <w14:solidFill>
                    <w14:schemeClr w14:val="tx1"/>
                  </w14:solidFill>
                </w14:textFill>
              </w:rPr>
              <w:t>Agreement</w:t>
            </w:r>
          </w:p>
          <w:p>
            <w:pPr>
              <w:overflowPunct w:val="0"/>
              <w:autoSpaceDE w:val="0"/>
              <w:autoSpaceDN w:val="0"/>
              <w:adjustRightInd w:val="0"/>
              <w:snapToGrid w:val="0"/>
              <w:spacing w:before="72" w:beforeLines="30" w:after="72" w:afterLines="30" w:line="288" w:lineRule="auto"/>
              <w:jc w:val="both"/>
              <w:textAlignment w:val="baseline"/>
              <w:rPr>
                <w:rFonts w:eastAsia="宋体"/>
                <w:color w:val="000000" w:themeColor="text1"/>
                <w:szCs w:val="20"/>
                <w:lang w:eastAsia="en-US"/>
                <w14:textFill>
                  <w14:solidFill>
                    <w14:schemeClr w14:val="tx1"/>
                  </w14:solidFill>
                </w14:textFill>
              </w:rPr>
            </w:pPr>
            <w:r>
              <w:rPr>
                <w:rFonts w:eastAsia="宋体"/>
                <w:color w:val="000000" w:themeColor="text1"/>
                <w:szCs w:val="20"/>
                <w:lang w:eastAsia="en-US"/>
                <w14:textFill>
                  <w14:solidFill>
                    <w14:schemeClr w14:val="tx1"/>
                  </w14:solidFill>
                </w14:textFill>
              </w:rPr>
              <w:t>For U</w:t>
            </w:r>
            <w:r>
              <w:rPr>
                <w:rFonts w:eastAsia="等线"/>
                <w:color w:val="000000" w:themeColor="text1"/>
                <w:szCs w:val="20"/>
                <w14:textFill>
                  <w14:solidFill>
                    <w14:schemeClr w14:val="tx1"/>
                  </w14:solidFill>
                </w14:textFill>
              </w:rPr>
              <w:t>E to collect data for training</w:t>
            </w:r>
            <w:r>
              <w:rPr>
                <w:rFonts w:eastAsia="宋体"/>
                <w:color w:val="000000" w:themeColor="text1"/>
                <w:szCs w:val="20"/>
                <w:lang w:eastAsia="en-US"/>
                <w14:textFill>
                  <w14:solidFill>
                    <w14:schemeClr w14:val="tx1"/>
                  </w14:solidFill>
                </w14:textFill>
              </w:rPr>
              <w:t xml:space="preserve">, </w:t>
            </w:r>
            <w:r>
              <w:rPr>
                <w:rFonts w:eastAsia="等线"/>
                <w:color w:val="000000" w:themeColor="text1"/>
                <w:szCs w:val="20"/>
                <w14:textFill>
                  <w14:solidFill>
                    <w14:schemeClr w14:val="tx1"/>
                  </w14:solidFill>
                </w14:textFill>
              </w:rPr>
              <w:t>study</w:t>
            </w:r>
            <w:r>
              <w:rPr>
                <w:rFonts w:eastAsia="宋体"/>
                <w:color w:val="000000" w:themeColor="text1"/>
                <w:szCs w:val="20"/>
                <w:lang w:eastAsia="en-US"/>
                <w14:textFill>
                  <w14:solidFill>
                    <w14:schemeClr w14:val="tx1"/>
                  </w14:solidFill>
                </w14:textFill>
              </w:rPr>
              <w:t xml:space="preserve"> following spec impacts</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NW configuration or UE request</w:t>
            </w:r>
            <w:r>
              <w:rPr>
                <w:rFonts w:eastAsia="等线"/>
                <w:color w:val="000000" w:themeColor="text1"/>
                <w:lang w:val="en-GB"/>
                <w14:textFill>
                  <w14:solidFill>
                    <w14:schemeClr w14:val="tx1"/>
                  </w14:solidFill>
                </w14:textFill>
              </w:rPr>
              <w:t>, e.g., RS configuration/transmission for data collection</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Whether enhancements in CSI-RS configuration is needed.</w:t>
            </w:r>
          </w:p>
          <w:p>
            <w:pPr>
              <w:numPr>
                <w:ilvl w:val="0"/>
                <w:numId w:val="26"/>
              </w:numPr>
              <w:suppressAutoHyphens/>
              <w:adjustRightInd w:val="0"/>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Configuration of temporal aspects for temporal case 2/3, e.g., association between input and output CSI</w:t>
            </w:r>
          </w:p>
          <w:p>
            <w:pPr>
              <w:numPr>
                <w:ilvl w:val="0"/>
                <w:numId w:val="26"/>
              </w:numPr>
              <w:suppressAutoHyphens/>
              <w:adjustRightInd w:val="0"/>
              <w:snapToGrid w:val="0"/>
              <w:spacing w:before="72" w:beforeLines="30" w:after="72" w:afterLines="30" w:line="288" w:lineRule="auto"/>
              <w:jc w:val="both"/>
              <w:rPr>
                <w:rFonts w:eastAsia="等线"/>
                <w:color w:val="000000" w:themeColor="text1"/>
                <w:lang w:val="en-GB"/>
                <w14:textFill>
                  <w14:solidFill>
                    <w14:schemeClr w14:val="tx1"/>
                  </w14:solidFill>
                </w14:textFill>
              </w:rPr>
            </w:pPr>
            <w:r>
              <w:rPr>
                <w:rFonts w:eastAsia="Calibri"/>
                <w:color w:val="000000" w:themeColor="text1"/>
                <w:lang w:val="en-GB" w:eastAsia="en-US"/>
                <w14:textFill>
                  <w14:solidFill>
                    <w14:schemeClr w14:val="tx1"/>
                  </w14:solidFill>
                </w14:textFill>
              </w:rPr>
              <w:t xml:space="preserve">FFS: </w:t>
            </w:r>
            <w:r>
              <w:rPr>
                <w:rFonts w:eastAsia="等线"/>
                <w:color w:val="000000" w:themeColor="text1"/>
                <w:lang w:val="en-GB"/>
                <w14:textFill>
                  <w14:solidFill>
                    <w14:schemeClr w14:val="tx1"/>
                  </w14:solidFill>
                </w14:textFill>
              </w:rPr>
              <w:t>Need of c</w:t>
            </w:r>
            <w:r>
              <w:rPr>
                <w:rFonts w:eastAsia="Calibri"/>
                <w:color w:val="000000" w:themeColor="text1"/>
                <w:lang w:val="en-GB" w:eastAsia="en-US"/>
                <w14:textFill>
                  <w14:solidFill>
                    <w14:schemeClr w14:val="tx1"/>
                  </w14:solidFill>
                </w14:textFill>
              </w:rPr>
              <w:t>onfiguration of ID</w:t>
            </w:r>
            <w:r>
              <w:rPr>
                <w:rFonts w:eastAsia="等线"/>
                <w:color w:val="000000" w:themeColor="text1"/>
                <w:lang w:val="en-GB"/>
                <w14:textFill>
                  <w14:solidFill>
                    <w14:schemeClr w14:val="tx1"/>
                  </w14:solidFill>
                </w14:textFill>
              </w:rPr>
              <w:t>, and configuration of ID</w:t>
            </w:r>
          </w:p>
        </w:tc>
      </w:tr>
    </w:tbl>
    <w:p>
      <w:pPr>
        <w:numPr>
          <w:ilvl w:val="255"/>
          <w:numId w:val="0"/>
        </w:numPr>
        <w:adjustRightInd w:val="0"/>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For network side data collection, UE is required to conduct measurements based on configured reference signals and then report the ground-truth CSI to the network for model training or performance monitoring. </w:t>
      </w:r>
      <w:r>
        <w:rPr>
          <w:rFonts w:eastAsia="宋体"/>
          <w:color w:val="000000" w:themeColor="text1"/>
          <w14:textFill>
            <w14:solidFill>
              <w14:schemeClr w14:val="tx1"/>
            </w14:solidFill>
          </w14:textFill>
        </w:rPr>
        <w:t>However</w:t>
      </w:r>
      <w:r>
        <w:rPr>
          <w:color w:val="000000" w:themeColor="text1"/>
          <w14:textFill>
            <w14:solidFill>
              <w14:schemeClr w14:val="tx1"/>
            </w14:solidFill>
          </w14:textFill>
        </w:rPr>
        <w:t xml:space="preserve">, the overhead of the ground-truth label transmitted over the air-interface is a huge concern if the ground-truth CSI is an ideal CSI (e.g., raw channels, eigenvectors). </w:t>
      </w:r>
      <w:r>
        <w:rPr>
          <w:rFonts w:eastAsia="宋体"/>
          <w:color w:val="000000" w:themeColor="text1"/>
          <w14:textFill>
            <w14:solidFill>
              <w14:schemeClr w14:val="tx1"/>
            </w14:solidFill>
          </w14:textFill>
        </w:rPr>
        <w:t>To address this issue</w:t>
      </w:r>
      <w:r>
        <w:rPr>
          <w:color w:val="000000" w:themeColor="text1"/>
          <w14:textFill>
            <w14:solidFill>
              <w14:schemeClr w14:val="tx1"/>
            </w14:solidFill>
          </w14:textFill>
        </w:rPr>
        <w:t xml:space="preserve">, one solution is to enhance legacy CSI to increase its reliability, e.g., higher resolution CSI based on legacy Rel-16 eType II codebook design. As </w:t>
      </w:r>
      <w:r>
        <w:rPr>
          <w:rFonts w:eastAsia="宋体"/>
          <w:color w:val="000000" w:themeColor="text1"/>
          <w14:textFill>
            <w14:solidFill>
              <w14:schemeClr w14:val="tx1"/>
            </w14:solidFill>
          </w14:textFill>
        </w:rPr>
        <w:t>observed in our simulation</w:t>
      </w:r>
      <w:r>
        <w:rPr>
          <w:color w:val="000000" w:themeColor="text1"/>
          <w14:textFill>
            <w14:solidFill>
              <w14:schemeClr w14:val="tx1"/>
            </w14:solidFill>
          </w14:textFill>
        </w:rPr>
        <w:t xml:space="preserve">, Rel-16 eType II CB with new parameters for one training sample only increases </w:t>
      </w:r>
      <w:r>
        <w:rPr>
          <w:rFonts w:eastAsia="宋体"/>
          <w:color w:val="000000" w:themeColor="text1"/>
          <w14:textFill>
            <w14:solidFill>
              <w14:schemeClr w14:val="tx1"/>
            </w14:solidFill>
          </w14:textFill>
        </w:rPr>
        <w:t xml:space="preserve">the overhead </w:t>
      </w:r>
      <w:r>
        <w:rPr>
          <w:color w:val="000000" w:themeColor="text1"/>
          <w14:textFill>
            <w14:solidFill>
              <w14:schemeClr w14:val="tx1"/>
            </w14:solidFill>
          </w14:textFill>
        </w:rPr>
        <w:t xml:space="preserve">by 50% compared </w:t>
      </w:r>
      <w:r>
        <w:rPr>
          <w:rFonts w:eastAsia="宋体"/>
          <w:color w:val="000000" w:themeColor="text1"/>
          <w14:textFill>
            <w14:solidFill>
              <w14:schemeClr w14:val="tx1"/>
            </w14:solidFill>
          </w14:textFill>
        </w:rPr>
        <w:t xml:space="preserve">to </w:t>
      </w:r>
      <w:r>
        <w:rPr>
          <w:color w:val="000000" w:themeColor="text1"/>
          <w14:textFill>
            <w14:solidFill>
              <w14:schemeClr w14:val="tx1"/>
            </w14:solidFill>
          </w14:textFill>
        </w:rPr>
        <w:t xml:space="preserve">Rel-16 eTypeII CB with the maximal payload (i.e., PC8) but keeps similar model performance as ideal CSI, which can be acceptable to be carried on UCI. </w:t>
      </w:r>
    </w:p>
    <w:p>
      <w:pPr>
        <w:pStyle w:val="147"/>
        <w:snapToGrid w:val="0"/>
        <w:spacing w:before="72" w:after="72"/>
        <w:jc w:val="both"/>
        <w:rPr>
          <w:b w:val="0"/>
          <w:color w:val="000000" w:themeColor="text1"/>
          <w:szCs w:val="20"/>
          <w:lang w:val="en-US"/>
          <w14:textFill>
            <w14:solidFill>
              <w14:schemeClr w14:val="tx1"/>
            </w14:solidFill>
          </w14:textFill>
        </w:rPr>
      </w:pPr>
      <w:bookmarkStart w:id="18" w:name="_Hlk162705050"/>
      <w:r>
        <w:rPr>
          <w:rFonts w:hint="eastAsia"/>
          <w:b w:val="0"/>
          <w:color w:val="000000" w:themeColor="text1"/>
          <w:szCs w:val="20"/>
          <w:lang w:val="en-US"/>
          <w14:textFill>
            <w14:solidFill>
              <w14:schemeClr w14:val="tx1"/>
            </w14:solidFill>
          </w14:textFill>
        </w:rPr>
        <w:t>For ground-truth reporting for NW-side data collection, support to further study enhanced Rel-16 eTypeII codebook design to achieve high-resolution CSI.</w:t>
      </w:r>
    </w:p>
    <w:bookmarkEnd w:id="18"/>
    <w:p>
      <w:pPr>
        <w:numPr>
          <w:ilvl w:val="255"/>
          <w:numId w:val="0"/>
        </w:numPr>
        <w:adjustRightInd w:val="0"/>
        <w:snapToGrid w:val="0"/>
        <w:spacing w:before="72" w:beforeLines="30" w:after="72" w:afterLines="30" w:line="288" w:lineRule="auto"/>
        <w:jc w:val="both"/>
        <w:rPr>
          <w:rFonts w:eastAsia="宋体"/>
          <w:color w:val="000000" w:themeColor="text1"/>
          <w14:textFill>
            <w14:solidFill>
              <w14:schemeClr w14:val="tx1"/>
            </w14:solidFill>
          </w14:textFill>
        </w:rPr>
      </w:pPr>
      <w:r>
        <w:rPr>
          <w:color w:val="000000" w:themeColor="text1"/>
          <w14:textFill>
            <w14:solidFill>
              <w14:schemeClr w14:val="tx1"/>
            </w14:solidFill>
          </w14:textFill>
        </w:rPr>
        <w:t xml:space="preserve">For data collection at NW side, the quality of data reported from different UEs may vary greatly. For example, the data collected by UEs at the </w:t>
      </w:r>
      <w:r>
        <w:rPr>
          <w:rFonts w:eastAsia="宋体"/>
          <w:color w:val="000000" w:themeColor="text1"/>
          <w14:textFill>
            <w14:solidFill>
              <w14:schemeClr w14:val="tx1"/>
            </w14:solidFill>
          </w14:textFill>
        </w:rPr>
        <w:t>cell edge</w:t>
      </w:r>
      <w:r>
        <w:rPr>
          <w:color w:val="000000" w:themeColor="text1"/>
          <w14:textFill>
            <w14:solidFill>
              <w14:schemeClr w14:val="tx1"/>
            </w14:solidFill>
          </w14:textFill>
        </w:rPr>
        <w:t xml:space="preserve"> may suffer from low signal strength and </w:t>
      </w:r>
      <w:r>
        <w:rPr>
          <w:rFonts w:eastAsia="宋体"/>
          <w:color w:val="000000" w:themeColor="text1"/>
          <w14:textFill>
            <w14:solidFill>
              <w14:schemeClr w14:val="tx1"/>
            </w14:solidFill>
          </w14:textFill>
        </w:rPr>
        <w:t xml:space="preserve">serious </w:t>
      </w:r>
      <w:r>
        <w:rPr>
          <w:color w:val="000000" w:themeColor="text1"/>
          <w14:textFill>
            <w14:solidFill>
              <w14:schemeClr w14:val="tx1"/>
            </w14:solidFill>
          </w14:textFill>
        </w:rPr>
        <w:t>interference from neighbor cell, resulting in a low quality of collected data adverse to model training. There are two potential solutions to tackle this problem. On one hand, UE can report associated information with collected data, e.g., SINR, CQI, positioning information, and</w:t>
      </w:r>
      <w:r>
        <w:rPr>
          <w:rFonts w:eastAsia="宋体"/>
          <w:color w:val="000000" w:themeColor="text1"/>
          <w14:textFill>
            <w14:solidFill>
              <w14:schemeClr w14:val="tx1"/>
            </w14:solidFill>
          </w14:textFill>
        </w:rPr>
        <w:t xml:space="preserve"> then</w:t>
      </w:r>
      <w:r>
        <w:rPr>
          <w:color w:val="000000" w:themeColor="text1"/>
          <w14:textFill>
            <w14:solidFill>
              <w14:schemeClr w14:val="tx1"/>
            </w14:solidFill>
          </w14:textFill>
        </w:rPr>
        <w:t xml:space="preserve"> NW determines the data quality and whether/how to apply the collected data. On the other hand, NW can configure a threshold of data quality to UE. Then UE determines whether the quality of collected data meets the requirement and only reports the qualified data. Therefore, we propose to further study the potential specification impacts regarding the data quality </w:t>
      </w:r>
      <w:r>
        <w:rPr>
          <w:rFonts w:hint="eastAsia" w:eastAsia="宋体"/>
          <w:color w:val="000000" w:themeColor="text1"/>
          <w14:textFill>
            <w14:solidFill>
              <w14:schemeClr w14:val="tx1"/>
            </w14:solidFill>
          </w14:textFill>
        </w:rPr>
        <w:t xml:space="preserve">for NW-side </w:t>
      </w:r>
      <w:r>
        <w:rPr>
          <w:color w:val="000000" w:themeColor="text1"/>
          <w14:textFill>
            <w14:solidFill>
              <w14:schemeClr w14:val="tx1"/>
            </w14:solidFill>
          </w14:textFill>
        </w:rPr>
        <w:t>data collection</w:t>
      </w:r>
      <w:r>
        <w:rPr>
          <w:rFonts w:hint="eastAsia" w:eastAsia="宋体"/>
          <w:color w:val="000000" w:themeColor="text1"/>
          <w14:textFill>
            <w14:solidFill>
              <w14:schemeClr w14:val="tx1"/>
            </w14:solidFill>
          </w14:textFill>
        </w:rPr>
        <w:t>.</w:t>
      </w:r>
    </w:p>
    <w:p>
      <w:pPr>
        <w:pStyle w:val="147"/>
        <w:snapToGrid w:val="0"/>
        <w:spacing w:before="72" w:after="72"/>
        <w:jc w:val="both"/>
        <w:rPr>
          <w:b w:val="0"/>
          <w:color w:val="000000" w:themeColor="text1"/>
          <w:szCs w:val="20"/>
          <w:lang w:val="en-US"/>
          <w14:textFill>
            <w14:solidFill>
              <w14:schemeClr w14:val="tx1"/>
            </w14:solidFill>
          </w14:textFill>
        </w:rPr>
      </w:pPr>
      <w:bookmarkStart w:id="19" w:name="_Hlk162705068"/>
      <w:r>
        <w:rPr>
          <w:rFonts w:hint="eastAsia"/>
          <w:b w:val="0"/>
          <w:color w:val="000000" w:themeColor="text1"/>
          <w:szCs w:val="20"/>
          <w:lang w:val="en-US"/>
          <w14:textFill>
            <w14:solidFill>
              <w14:schemeClr w14:val="tx1"/>
            </w14:solidFill>
          </w14:textFill>
        </w:rPr>
        <w:t>To enable high-quality data collection from UE to network, at least support</w:t>
      </w:r>
    </w:p>
    <w:p>
      <w:pPr>
        <w:numPr>
          <w:ilvl w:val="0"/>
          <w:numId w:val="27"/>
        </w:numPr>
        <w:adjustRightInd w:val="0"/>
        <w:snapToGrid w:val="0"/>
        <w:spacing w:before="30" w:after="30" w:line="288"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 xml:space="preserve">UE reports </w:t>
      </w:r>
      <w:r>
        <w:rPr>
          <w:rFonts w:eastAsia="宋体"/>
          <w:i/>
          <w:iCs/>
          <w:color w:val="000000" w:themeColor="text1"/>
          <w14:textFill>
            <w14:solidFill>
              <w14:schemeClr w14:val="tx1"/>
            </w14:solidFill>
          </w14:textFill>
        </w:rPr>
        <w:t xml:space="preserve">data quality related </w:t>
      </w:r>
      <w:r>
        <w:rPr>
          <w:i/>
          <w:color w:val="000000" w:themeColor="text1"/>
          <w14:textFill>
            <w14:solidFill>
              <w14:schemeClr w14:val="tx1"/>
            </w14:solidFill>
          </w14:textFill>
        </w:rPr>
        <w:t>information to NW,</w:t>
      </w:r>
      <w:r>
        <w:rPr>
          <w:color w:val="000000" w:themeColor="text1"/>
          <w14:textFill>
            <w14:solidFill>
              <w14:schemeClr w14:val="tx1"/>
            </w14:solidFill>
          </w14:textFill>
        </w:rPr>
        <w:t xml:space="preserve"> </w:t>
      </w:r>
      <w:r>
        <w:rPr>
          <w:i/>
          <w:color w:val="000000" w:themeColor="text1"/>
          <w14:textFill>
            <w14:solidFill>
              <w14:schemeClr w14:val="tx1"/>
            </w14:solidFill>
          </w14:textFill>
        </w:rPr>
        <w:t>e.g., SINR, CQI, positioning information</w:t>
      </w:r>
    </w:p>
    <w:p>
      <w:pPr>
        <w:numPr>
          <w:ilvl w:val="0"/>
          <w:numId w:val="27"/>
        </w:numPr>
        <w:adjustRightInd w:val="0"/>
        <w:snapToGrid w:val="0"/>
        <w:spacing w:before="30" w:after="30" w:line="288"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NW configures a threshold of data quality to UE and UE only reports the qualified data to NW</w:t>
      </w:r>
    </w:p>
    <w:p>
      <w:pPr>
        <w:adjustRightInd w:val="0"/>
        <w:snapToGrid w:val="0"/>
        <w:spacing w:before="30" w:after="30" w:line="288" w:lineRule="auto"/>
        <w:jc w:val="both"/>
        <w:rPr>
          <w:i/>
          <w:color w:val="000000" w:themeColor="text1"/>
          <w14:textFill>
            <w14:solidFill>
              <w14:schemeClr w14:val="tx1"/>
            </w14:solidFill>
          </w14:textFill>
        </w:rPr>
      </w:pPr>
    </w:p>
    <w:bookmarkEnd w:id="19"/>
    <w:p>
      <w:pPr>
        <w:numPr>
          <w:ilvl w:val="1"/>
          <w:numId w:val="10"/>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 xml:space="preserve">CQI determination </w:t>
      </w:r>
    </w:p>
    <w:p>
      <w:pPr>
        <w:numPr>
          <w:ilvl w:val="255"/>
          <w:numId w:val="0"/>
        </w:numPr>
        <w:adjustRightInd w:val="0"/>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During the study phase in Rel-18, the following agreement was achieved for CQI determination in CSI report.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before="72" w:beforeLines="30" w:after="72" w:afterLines="30" w:line="288" w:lineRule="auto"/>
              <w:jc w:val="both"/>
              <w:rPr>
                <w:b/>
                <w:color w:val="000000" w:themeColor="text1"/>
                <w:u w:val="single"/>
                <w14:textFill>
                  <w14:solidFill>
                    <w14:schemeClr w14:val="tx1"/>
                  </w14:solidFill>
                </w14:textFill>
              </w:rPr>
            </w:pPr>
            <w:r>
              <w:rPr>
                <w:b/>
                <w:color w:val="000000" w:themeColor="text1"/>
                <w:u w:val="single"/>
                <w14:textFill>
                  <w14:solidFill>
                    <w14:schemeClr w14:val="tx1"/>
                  </w14:solidFill>
                </w14:textFill>
              </w:rPr>
              <w:t>Agreement:</w:t>
            </w:r>
          </w:p>
          <w:p>
            <w:p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further study the following options for CQI determination in CSI report, if CQI in CSI report is configured.    </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1: CQI is NOT calculated based on the output of CSI reconstruction part from the realistic channel estimation, including</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Option 1a: CQI is calculated based on target CSI with realistic channel measurement  </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Option 1b: CQI is calculated based on target CSI with realistic channel measurement and potential adjustment </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1c: CQI is calculated based on legacy codebook</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2: CQI is calculated based on the output of CSI reconstruction part from the realistic channel estimation, including</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2a: CQI is calculated based on CSI reconstruction output, if CSI reconstruction model is available at the UE and UE can perform reconstruction model inference with potential adjustment</w:t>
            </w:r>
          </w:p>
          <w:p>
            <w:pPr>
              <w:numPr>
                <w:ilvl w:val="2"/>
                <w:numId w:val="28"/>
              </w:numPr>
              <w:tabs>
                <w:tab w:val="left" w:pos="216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Note: CSI reconstruction part at the UE can be different comparing to the actual CSI reconstruction part used at the NW. </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Option 2b: CQI is calculated using two stage approach, UE derive CQI using precoded CSI-RS transmitted with a reconstructed precoder.   </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Other options are not precluded</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Note1: feasibility of different options should be evaluated </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Note2: Gap analyses between the UE side CQI calculation results and the NW side results, as well as the impact on the scheduling performance should be evaluated</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Note3: Complexity of CQI calculation needs to be evaluated, including the computing complexity and potential RS/signaling overhead</w:t>
            </w:r>
          </w:p>
        </w:tc>
      </w:tr>
    </w:tbl>
    <w:p>
      <w:pPr>
        <w:adjustRightInd w:val="0"/>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For CQI determination, we analyze the pros and cons of different options in </w:t>
      </w:r>
      <w:r>
        <w:rPr>
          <w:rFonts w:hint="eastAsia" w:eastAsia="宋体"/>
          <w:color w:val="000000" w:themeColor="text1"/>
          <w14:textFill>
            <w14:solidFill>
              <w14:schemeClr w14:val="tx1"/>
            </w14:solidFill>
          </w14:textFill>
        </w:rPr>
        <w:t>the following table</w:t>
      </w:r>
      <w:r>
        <w:rPr>
          <w:rFonts w:eastAsia="宋体"/>
          <w:color w:val="000000" w:themeColor="text1"/>
          <w:szCs w:val="20"/>
          <w14:textFill>
            <w14:solidFill>
              <w14:schemeClr w14:val="tx1"/>
            </w14:solidFill>
          </w14:textFill>
        </w:rPr>
        <w:t>,</w:t>
      </w:r>
      <w:r>
        <w:rPr>
          <w:color w:val="000000" w:themeColor="text1"/>
          <w14:textFill>
            <w14:solidFill>
              <w14:schemeClr w14:val="tx1"/>
            </w14:solidFill>
          </w14:textFill>
        </w:rPr>
        <w:t xml:space="preserve"> and we propose to further down-select some potential options in Rel-19 study phase. </w:t>
      </w:r>
    </w:p>
    <w:p>
      <w:pPr>
        <w:adjustRightInd w:val="0"/>
        <w:snapToGrid w:val="0"/>
        <w:spacing w:before="72" w:beforeLines="30" w:after="72" w:afterLines="30" w:line="288"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Table</w:t>
      </w:r>
      <w:r>
        <w:rPr>
          <w:rFonts w:hint="eastAsia"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 xml:space="preserve"> The analysis on CQI determination</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1"/>
        <w:gridCol w:w="2036"/>
        <w:gridCol w:w="5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gridSpan w:val="2"/>
          </w:tcPr>
          <w:p>
            <w:pPr>
              <w:adjustRightInd w:val="0"/>
              <w:snapToGrid w:val="0"/>
              <w:spacing w:before="30" w:after="30" w:line="288"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CQI determination</w:t>
            </w:r>
          </w:p>
        </w:tc>
        <w:tc>
          <w:tcPr>
            <w:tcW w:w="5953" w:type="dxa"/>
          </w:tcPr>
          <w:p>
            <w:pPr>
              <w:adjustRightInd w:val="0"/>
              <w:snapToGrid w:val="0"/>
              <w:spacing w:before="30" w:after="30" w:line="288" w:lineRule="auto"/>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CQI is NOT calculated based on the output of CSI reconstruction part from the realistic channel estimation</w:t>
            </w:r>
          </w:p>
        </w:tc>
        <w:tc>
          <w:tcPr>
            <w:tcW w:w="2036" w:type="dxa"/>
          </w:tcPr>
          <w:p>
            <w:pPr>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Option 1a: CQI is calculated based on target CSI with realistic channel measurement </w:t>
            </w:r>
          </w:p>
        </w:tc>
        <w:tc>
          <w:tcPr>
            <w:tcW w:w="5953" w:type="dxa"/>
          </w:tcPr>
          <w:p>
            <w:pPr>
              <w:numPr>
                <w:ilvl w:val="0"/>
                <w:numId w:val="29"/>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UE can directly adopt the target CSI with realistic channel measurement for CQI calculation</w:t>
            </w:r>
          </w:p>
          <w:p>
            <w:pPr>
              <w:numPr>
                <w:ilvl w:val="0"/>
                <w:numId w:val="29"/>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UE may over-estimate the channel condition</w:t>
            </w:r>
            <w:r>
              <w:rPr>
                <w:rFonts w:hint="eastAsia" w:eastAsiaTheme="minorEastAsia"/>
                <w:color w:val="000000" w:themeColor="text1"/>
                <w14:textFill>
                  <w14:solidFill>
                    <w14:schemeClr w14:val="tx1"/>
                  </w14:solidFill>
                </w14:textFill>
              </w:rPr>
              <w:t>,</w:t>
            </w:r>
            <w:r>
              <w:rPr>
                <w:rFonts w:eastAsiaTheme="minorEastAsia"/>
                <w:color w:val="000000" w:themeColor="text1"/>
                <w14:textFill>
                  <w14:solidFill>
                    <w14:schemeClr w14:val="tx1"/>
                  </w14:solidFill>
                </w14:textFill>
              </w:rPr>
              <w:t xml:space="preserve"> and </w:t>
            </w:r>
            <w:r>
              <w:rPr>
                <w:rFonts w:hint="eastAsia" w:eastAsiaTheme="minorEastAsia"/>
                <w:color w:val="000000" w:themeColor="text1"/>
                <w14:textFill>
                  <w14:solidFill>
                    <w14:schemeClr w14:val="tx1"/>
                  </w14:solidFill>
                </w14:textFill>
              </w:rPr>
              <w:t xml:space="preserve">thus </w:t>
            </w:r>
            <w:r>
              <w:rPr>
                <w:rFonts w:eastAsiaTheme="minorEastAsia"/>
                <w:color w:val="000000" w:themeColor="text1"/>
                <w14:textFill>
                  <w14:solidFill>
                    <w14:schemeClr w14:val="tx1"/>
                  </w14:solidFill>
                </w14:textFill>
              </w:rPr>
              <w:t>reconstructed PMI and CQI are not matched</w:t>
            </w:r>
          </w:p>
          <w:p>
            <w:pPr>
              <w:numPr>
                <w:ilvl w:val="0"/>
                <w:numId w:val="29"/>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Network may always need to make some adjustment on UE reported CQI according to outer loop control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000000" w:themeColor="text1"/>
                <w14:textFill>
                  <w14:solidFill>
                    <w14:schemeClr w14:val="tx1"/>
                  </w14:solidFill>
                </w14:textFill>
              </w:rPr>
            </w:pPr>
          </w:p>
        </w:tc>
        <w:tc>
          <w:tcPr>
            <w:tcW w:w="2036" w:type="dxa"/>
          </w:tcPr>
          <w:p>
            <w:pPr>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Option 1b: </w:t>
            </w:r>
            <w:r>
              <w:rPr>
                <w:color w:val="000000" w:themeColor="text1"/>
                <w14:textFill>
                  <w14:solidFill>
                    <w14:schemeClr w14:val="tx1"/>
                  </w14:solidFill>
                </w14:textFill>
              </w:rPr>
              <w:t>CQI is calculated based on target CSI with realistic channel measurement and potential adjustment</w:t>
            </w:r>
          </w:p>
        </w:tc>
        <w:tc>
          <w:tcPr>
            <w:tcW w:w="5953" w:type="dxa"/>
          </w:tcPr>
          <w:p>
            <w:pPr>
              <w:numPr>
                <w:ilvl w:val="0"/>
                <w:numId w:val="30"/>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A CQI adjustment table can be constructed according to some channel characteristics </w:t>
            </w:r>
            <w:r>
              <w:rPr>
                <w:rFonts w:hint="eastAsia" w:eastAsiaTheme="minorEastAsia"/>
                <w:color w:val="000000" w:themeColor="text1"/>
                <w14:textFill>
                  <w14:solidFill>
                    <w14:schemeClr w14:val="tx1"/>
                  </w14:solidFill>
                </w14:textFill>
              </w:rPr>
              <w:t xml:space="preserve">or </w:t>
            </w:r>
            <w:r>
              <w:rPr>
                <w:rFonts w:eastAsiaTheme="minorEastAsia"/>
                <w:color w:val="000000" w:themeColor="text1"/>
                <w14:textFill>
                  <w14:solidFill>
                    <w14:schemeClr w14:val="tx1"/>
                  </w14:solidFill>
                </w14:textFill>
              </w:rPr>
              <w:t>based on some priori information at NW side</w:t>
            </w:r>
          </w:p>
          <w:p>
            <w:pPr>
              <w:numPr>
                <w:ilvl w:val="0"/>
                <w:numId w:val="30"/>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UE can calculate the similarity-related metrics between measured channel and the channel characteristics to do corresponding CQI adjustment</w:t>
            </w:r>
          </w:p>
          <w:p>
            <w:pPr>
              <w:numPr>
                <w:ilvl w:val="0"/>
                <w:numId w:val="30"/>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Beneficial to the system performance after potential adjustment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000000" w:themeColor="text1"/>
                <w14:textFill>
                  <w14:solidFill>
                    <w14:schemeClr w14:val="tx1"/>
                  </w14:solidFill>
                </w14:textFill>
              </w:rPr>
            </w:pPr>
          </w:p>
        </w:tc>
        <w:tc>
          <w:tcPr>
            <w:tcW w:w="2036" w:type="dxa"/>
          </w:tcPr>
          <w:p>
            <w:pPr>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Option 1c: CQI is calculated based on legacy codebook</w:t>
            </w:r>
          </w:p>
        </w:tc>
        <w:tc>
          <w:tcPr>
            <w:tcW w:w="5953" w:type="dxa"/>
          </w:tcPr>
          <w:p>
            <w:pPr>
              <w:pStyle w:val="113"/>
              <w:numPr>
                <w:ilvl w:val="0"/>
                <w:numId w:val="31"/>
              </w:numPr>
              <w:adjustRightInd w:val="0"/>
              <w:snapToGrid w:val="0"/>
              <w:spacing w:before="30" w:after="30" w:line="288" w:lineRule="auto"/>
              <w:ind w:firstLineChars="0"/>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UE may not support traditional codebook and AI/ML codebook simultaneously, which will largely increase the UE complexity</w:t>
            </w:r>
          </w:p>
          <w:p>
            <w:pPr>
              <w:pStyle w:val="113"/>
              <w:numPr>
                <w:ilvl w:val="0"/>
                <w:numId w:val="31"/>
              </w:numPr>
              <w:adjustRightInd w:val="0"/>
              <w:snapToGrid w:val="0"/>
              <w:spacing w:before="30" w:after="30" w:line="288" w:lineRule="auto"/>
              <w:ind w:firstLineChars="0"/>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Mismatching between PMI and CQI is also unavoidable. If </w:t>
            </w:r>
            <w:r>
              <w:rPr>
                <w:rFonts w:hint="eastAsia" w:eastAsiaTheme="minorEastAsia"/>
                <w:color w:val="000000" w:themeColor="text1"/>
                <w14:textFill>
                  <w14:solidFill>
                    <w14:schemeClr w14:val="tx1"/>
                  </w14:solidFill>
                </w14:textFill>
              </w:rPr>
              <w:t xml:space="preserve">the </w:t>
            </w:r>
            <w:r>
              <w:rPr>
                <w:rFonts w:eastAsiaTheme="minorEastAsia"/>
                <w:color w:val="000000" w:themeColor="text1"/>
                <w14:textFill>
                  <w14:solidFill>
                    <w14:schemeClr w14:val="tx1"/>
                  </w14:solidFill>
                </w14:textFill>
              </w:rPr>
              <w:t xml:space="preserve">traditional codebook can already get accurate PMI, it is not necessary to implement AI/ML models.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bCs/>
                <w:color w:val="000000" w:themeColor="text1"/>
                <w14:textFill>
                  <w14:solidFill>
                    <w14:schemeClr w14:val="tx1"/>
                  </w14:solidFill>
                </w14:textFill>
              </w:rPr>
              <w:t>CQI is calculated based on the output of CSI reconstruction part from the realistic channel estimation</w:t>
            </w:r>
          </w:p>
          <w:p>
            <w:pPr>
              <w:adjustRightInd w:val="0"/>
              <w:snapToGrid w:val="0"/>
              <w:spacing w:before="30" w:after="30" w:line="288" w:lineRule="auto"/>
              <w:jc w:val="both"/>
              <w:rPr>
                <w:rFonts w:eastAsiaTheme="minorEastAsia"/>
                <w:color w:val="000000" w:themeColor="text1"/>
                <w14:textFill>
                  <w14:solidFill>
                    <w14:schemeClr w14:val="tx1"/>
                  </w14:solidFill>
                </w14:textFill>
              </w:rPr>
            </w:pPr>
          </w:p>
        </w:tc>
        <w:tc>
          <w:tcPr>
            <w:tcW w:w="2036" w:type="dxa"/>
          </w:tcPr>
          <w:p>
            <w:pPr>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Option 2a-1: CQI is calculated based on CSI reconstruction output, where CSI reconstruction part at the UE is the same as the actual CSI reconstruction part used at the NW.</w:t>
            </w:r>
          </w:p>
          <w:p>
            <w:pPr>
              <w:adjustRightInd w:val="0"/>
              <w:snapToGrid w:val="0"/>
              <w:spacing w:before="30" w:after="30" w:line="288" w:lineRule="auto"/>
              <w:jc w:val="both"/>
              <w:rPr>
                <w:rFonts w:eastAsiaTheme="minorEastAsia"/>
                <w:color w:val="000000" w:themeColor="text1"/>
                <w14:textFill>
                  <w14:solidFill>
                    <w14:schemeClr w14:val="tx1"/>
                  </w14:solidFill>
                </w14:textFill>
              </w:rPr>
            </w:pPr>
          </w:p>
        </w:tc>
        <w:tc>
          <w:tcPr>
            <w:tcW w:w="5953" w:type="dxa"/>
          </w:tcPr>
          <w:p>
            <w:pPr>
              <w:numPr>
                <w:ilvl w:val="0"/>
                <w:numId w:val="32"/>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UE may also be not expected to have CSI reconstruction model as it increases UE computation/storage/power consumption burden to a large extent</w:t>
            </w:r>
          </w:p>
          <w:p>
            <w:pPr>
              <w:numPr>
                <w:ilvl w:val="0"/>
                <w:numId w:val="32"/>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The CSI reconstruction model is generally a proprietary design by network side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000000" w:themeColor="text1"/>
                <w14:textFill>
                  <w14:solidFill>
                    <w14:schemeClr w14:val="tx1"/>
                  </w14:solidFill>
                </w14:textFill>
              </w:rPr>
            </w:pPr>
          </w:p>
        </w:tc>
        <w:tc>
          <w:tcPr>
            <w:tcW w:w="2036" w:type="dxa"/>
          </w:tcPr>
          <w:p>
            <w:pPr>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Option 2a-2: CQI is calculated based on proxy CSI reconstruction output at UE side, where CSI reconstruction part at the UE is different from the actual CSI reconstruction part used at the NW.</w:t>
            </w:r>
          </w:p>
        </w:tc>
        <w:tc>
          <w:tcPr>
            <w:tcW w:w="5953" w:type="dxa"/>
          </w:tcPr>
          <w:p>
            <w:pPr>
              <w:numPr>
                <w:ilvl w:val="0"/>
                <w:numId w:val="33"/>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The accuracy of CQI calculation based on the proxy output CSI at UE is strongly related to the proxy model design, which may be not reliable.</w:t>
            </w:r>
          </w:p>
          <w:p>
            <w:pPr>
              <w:numPr>
                <w:ilvl w:val="0"/>
                <w:numId w:val="33"/>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It may impose huge burden on the network side to additionally identify/monitor/manage the UE-side proxy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000000" w:themeColor="text1"/>
                <w14:textFill>
                  <w14:solidFill>
                    <w14:schemeClr w14:val="tx1"/>
                  </w14:solidFill>
                </w14:textFill>
              </w:rPr>
            </w:pPr>
          </w:p>
        </w:tc>
        <w:tc>
          <w:tcPr>
            <w:tcW w:w="2036" w:type="dxa"/>
          </w:tcPr>
          <w:p>
            <w:pPr>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Option 2b: CQI is calculated using two stage approach, UE derive CQI using precoded CSI-RS transmitted with a reconstructed precoder. </w:t>
            </w:r>
          </w:p>
        </w:tc>
        <w:tc>
          <w:tcPr>
            <w:tcW w:w="5953" w:type="dxa"/>
          </w:tcPr>
          <w:p>
            <w:pPr>
              <w:numPr>
                <w:ilvl w:val="0"/>
                <w:numId w:val="34"/>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UE has to receive a CSI-RS and report the PMI compressed by AI/ML model in the first step. Then, UE </w:t>
            </w:r>
            <w:r>
              <w:rPr>
                <w:rFonts w:hint="eastAsia" w:eastAsiaTheme="minorEastAsia"/>
                <w:color w:val="000000" w:themeColor="text1"/>
                <w14:textFill>
                  <w14:solidFill>
                    <w14:schemeClr w14:val="tx1"/>
                  </w14:solidFill>
                </w14:textFill>
              </w:rPr>
              <w:t>will</w:t>
            </w:r>
            <w:r>
              <w:rPr>
                <w:rFonts w:eastAsiaTheme="minorEastAsia"/>
                <w:color w:val="000000" w:themeColor="text1"/>
                <w14:textFill>
                  <w14:solidFill>
                    <w14:schemeClr w14:val="tx1"/>
                  </w14:solidFill>
                </w14:textFill>
              </w:rPr>
              <w:t xml:space="preserve"> receive a precoded CSI-RS based on the reconstructed PMI at network and report the CQI determined by precoded CSI-RS in the second step. </w:t>
            </w:r>
          </w:p>
          <w:p>
            <w:pPr>
              <w:numPr>
                <w:ilvl w:val="0"/>
                <w:numId w:val="34"/>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The two-step procedure increases the time span of the CQI determination process, which may face the channel variation/aging so that the current CQI cannot match the previous CSI</w:t>
            </w:r>
          </w:p>
          <w:p>
            <w:pPr>
              <w:numPr>
                <w:ilvl w:val="0"/>
                <w:numId w:val="34"/>
              </w:numPr>
              <w:tabs>
                <w:tab w:val="left" w:pos="720"/>
              </w:tabs>
              <w:adjustRightInd w:val="0"/>
              <w:snapToGrid w:val="0"/>
              <w:spacing w:before="30" w:after="30" w:line="288" w:lineRule="auto"/>
              <w:jc w:val="both"/>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 xml:space="preserve">In current specification, this mode is already supported (i.e., when the report quantity is cri-RI-CQI) and less specification impact is foreseen. </w:t>
            </w:r>
          </w:p>
        </w:tc>
      </w:tr>
    </w:tbl>
    <w:p>
      <w:pPr>
        <w:pStyle w:val="14"/>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Based on the above analysis, we propose to at least prioritize the specification impact discussions on Option 1a</w:t>
      </w:r>
      <w:r>
        <w:rPr>
          <w:rFonts w:hint="eastAsia" w:eastAsia="宋体"/>
          <w:color w:val="000000" w:themeColor="text1"/>
          <w14:textFill>
            <w14:solidFill>
              <w14:schemeClr w14:val="tx1"/>
            </w14:solidFill>
          </w14:textFill>
        </w:rPr>
        <w:t xml:space="preserve"> and</w:t>
      </w:r>
      <w:r>
        <w:rPr>
          <w:color w:val="000000" w:themeColor="text1"/>
          <w14:textFill>
            <w14:solidFill>
              <w14:schemeClr w14:val="tx1"/>
            </w14:solidFill>
          </w14:textFill>
        </w:rPr>
        <w:t xml:space="preserve"> Option 1b.</w:t>
      </w:r>
    </w:p>
    <w:p>
      <w:pPr>
        <w:pStyle w:val="147"/>
        <w:snapToGrid w:val="0"/>
        <w:spacing w:before="72" w:after="72"/>
        <w:jc w:val="both"/>
        <w:rPr>
          <w:b w:val="0"/>
          <w:color w:val="000000" w:themeColor="text1"/>
          <w:szCs w:val="20"/>
          <w:lang w:val="en-US"/>
          <w14:textFill>
            <w14:solidFill>
              <w14:schemeClr w14:val="tx1"/>
            </w14:solidFill>
          </w14:textFill>
        </w:rPr>
      </w:pPr>
      <w:bookmarkStart w:id="20" w:name="_Hlk162705086"/>
      <w:bookmarkStart w:id="21" w:name="_Hlk166145939"/>
      <w:r>
        <w:rPr>
          <w:rFonts w:hint="eastAsia"/>
          <w:b w:val="0"/>
          <w:color w:val="000000" w:themeColor="text1"/>
          <w:szCs w:val="20"/>
          <w:lang w:val="en-US"/>
          <w14:textFill>
            <w14:solidFill>
              <w14:schemeClr w14:val="tx1"/>
            </w14:solidFill>
          </w14:textFill>
        </w:rPr>
        <w:t xml:space="preserve">For CQI determination, at least prioritize the specification impact discussions on </w:t>
      </w:r>
      <w:bookmarkEnd w:id="20"/>
      <w:r>
        <w:rPr>
          <w:rFonts w:hint="eastAsia"/>
          <w:b w:val="0"/>
          <w:color w:val="000000" w:themeColor="text1"/>
          <w:szCs w:val="20"/>
          <w:lang w:val="en-US"/>
          <w14:textFill>
            <w14:solidFill>
              <w14:schemeClr w14:val="tx1"/>
            </w14:solidFill>
          </w14:textFill>
        </w:rPr>
        <w:t>Options 1a and 1b.</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bookmarkEnd w:id="21"/>
    <w:p>
      <w:pPr>
        <w:numPr>
          <w:ilvl w:val="1"/>
          <w:numId w:val="10"/>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Performance monitoring</w:t>
      </w:r>
    </w:p>
    <w:p>
      <w:p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RAN1#117 meeting, the following agreement related to monitoring based on intermediate KPIs </w:t>
      </w:r>
      <w:r>
        <w:rPr>
          <w:rFonts w:eastAsia="宋体"/>
          <w:color w:val="000000" w:themeColor="text1"/>
          <w14:textFill>
            <w14:solidFill>
              <w14:schemeClr w14:val="tx1"/>
            </w14:solidFill>
          </w14:textFill>
        </w:rPr>
        <w:t>were</w:t>
      </w:r>
      <w:r>
        <w:rPr>
          <w:color w:val="000000" w:themeColor="text1"/>
          <w14:textFill>
            <w14:solidFill>
              <w14:schemeClr w14:val="tx1"/>
            </w14:solidFill>
          </w14:textFill>
        </w:rPr>
        <w:t xml:space="preserve"> achieved.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adjustRightInd w:val="0"/>
              <w:snapToGrid w:val="0"/>
              <w:spacing w:before="72" w:beforeLines="30" w:after="72" w:afterLines="30" w:line="288"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Agreement:</w:t>
            </w:r>
          </w:p>
          <w:p>
            <w:pPr>
              <w:snapToGrid w:val="0"/>
              <w:spacing w:before="72" w:beforeLines="30" w:after="72" w:afterLines="30" w:line="288" w:lineRule="auto"/>
              <w:rPr>
                <w:rFonts w:eastAsia="等线"/>
                <w:color w:val="000000" w:themeColor="text1"/>
                <w14:textFill>
                  <w14:solidFill>
                    <w14:schemeClr w14:val="tx1"/>
                  </w14:solidFill>
                </w14:textFill>
              </w:rPr>
            </w:pPr>
            <w:r>
              <w:rPr>
                <w:color w:val="000000" w:themeColor="text1"/>
                <w14:textFill>
                  <w14:solidFill>
                    <w14:schemeClr w14:val="tx1"/>
                  </w14:solidFill>
                </w14:textFill>
              </w:rPr>
              <w:t>Further study following monitoring options in Rel-19</w:t>
            </w:r>
            <w:r>
              <w:rPr>
                <w:rFonts w:hint="eastAsia" w:eastAsia="等线"/>
                <w:color w:val="000000" w:themeColor="text1"/>
                <w14:textFill>
                  <w14:solidFill>
                    <w14:schemeClr w14:val="tx1"/>
                  </w14:solidFill>
                </w14:textFill>
              </w:rPr>
              <w:t xml:space="preserve">, including the necessity and feasibility, </w:t>
            </w:r>
          </w:p>
          <w:p>
            <w:pPr>
              <w:pStyle w:val="113"/>
              <w:numPr>
                <w:ilvl w:val="0"/>
                <w:numId w:val="35"/>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NW-side monitoring</w:t>
            </w:r>
            <w:r>
              <w:rPr>
                <w:rFonts w:hint="eastAsia" w:eastAsia="等线"/>
                <w:color w:val="000000" w:themeColor="text1"/>
                <w14:textFill>
                  <w14:solidFill>
                    <w14:schemeClr w14:val="tx1"/>
                  </w14:solidFill>
                </w14:textFill>
              </w:rPr>
              <w:t>, considering o</w:t>
            </w:r>
            <w:r>
              <w:rPr>
                <w:rFonts w:hint="eastAsia"/>
                <w:color w:val="000000" w:themeColor="text1"/>
                <w14:textFill>
                  <w14:solidFill>
                    <w14:schemeClr w14:val="tx1"/>
                  </w14:solidFill>
                </w14:textFill>
              </w:rPr>
              <w:t xml:space="preserve">verhead, </w:t>
            </w:r>
            <w:r>
              <w:rPr>
                <w:color w:val="000000" w:themeColor="text1"/>
                <w14:textFill>
                  <w14:solidFill>
                    <w14:schemeClr w14:val="tx1"/>
                  </w14:solidFill>
                </w14:textFill>
              </w:rPr>
              <w:t>latency</w:t>
            </w:r>
            <w:r>
              <w:rPr>
                <w:rFonts w:hint="eastAsia"/>
                <w:color w:val="000000" w:themeColor="text1"/>
                <w14:textFill>
                  <w14:solidFill>
                    <w14:schemeClr w14:val="tx1"/>
                  </w14:solidFill>
                </w14:textFill>
              </w:rPr>
              <w:t xml:space="preserve">, complexity, monitoring </w:t>
            </w:r>
            <w:r>
              <w:rPr>
                <w:color w:val="000000" w:themeColor="text1"/>
                <w14:textFill>
                  <w14:solidFill>
                    <w14:schemeClr w14:val="tx1"/>
                  </w14:solidFill>
                </w14:textFill>
              </w:rPr>
              <w:t>accuracy</w:t>
            </w:r>
            <w:r>
              <w:rPr>
                <w:rFonts w:hint="eastAsia" w:eastAsia="等线"/>
                <w:color w:val="000000" w:themeColor="text1"/>
                <w14:textFill>
                  <w14:solidFill>
                    <w14:schemeClr w14:val="tx1"/>
                  </w14:solidFill>
                </w14:textFill>
              </w:rPr>
              <w:t xml:space="preserve">, UE </w:t>
            </w:r>
            <w:r>
              <w:rPr>
                <w:rFonts w:eastAsia="等线"/>
                <w:color w:val="000000" w:themeColor="text1"/>
                <w14:textFill>
                  <w14:solidFill>
                    <w14:schemeClr w14:val="tx1"/>
                  </w14:solidFill>
                </w14:textFill>
              </w:rPr>
              <w:t>capability</w:t>
            </w:r>
          </w:p>
          <w:p>
            <w:pPr>
              <w:pStyle w:val="113"/>
              <w:numPr>
                <w:ilvl w:val="1"/>
                <w:numId w:val="35"/>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Based on the target CSI reported by the UE via legacy eT2 codebook or eT2-like high-resolution codebook (Case 1)</w:t>
            </w:r>
          </w:p>
          <w:p>
            <w:pPr>
              <w:pStyle w:val="113"/>
              <w:numPr>
                <w:ilvl w:val="1"/>
                <w:numId w:val="35"/>
              </w:numPr>
              <w:snapToGrid w:val="0"/>
              <w:spacing w:before="72" w:beforeLines="30" w:after="72" w:afterLines="30" w:line="288" w:lineRule="auto"/>
              <w:ind w:firstLineChars="0"/>
              <w:rPr>
                <w:color w:val="000000" w:themeColor="text1"/>
                <w14:textFill>
                  <w14:solidFill>
                    <w14:schemeClr w14:val="tx1"/>
                  </w14:solidFill>
                </w14:textFill>
              </w:rPr>
            </w:pPr>
            <w:r>
              <w:rPr>
                <w:color w:val="000000" w:themeColor="text1"/>
                <w14:textFill>
                  <w14:solidFill>
                    <w14:schemeClr w14:val="tx1"/>
                  </w14:solidFill>
                </w14:textFill>
              </w:rPr>
              <w:t>SRS-based monitoring</w:t>
            </w:r>
          </w:p>
          <w:p>
            <w:pPr>
              <w:pStyle w:val="113"/>
              <w:numPr>
                <w:ilvl w:val="0"/>
                <w:numId w:val="35"/>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UE-side monitoring</w:t>
            </w:r>
            <w:r>
              <w:rPr>
                <w:rFonts w:hint="eastAsia" w:eastAsia="等线"/>
                <w:color w:val="000000" w:themeColor="text1"/>
                <w14:textFill>
                  <w14:solidFill>
                    <w14:schemeClr w14:val="tx1"/>
                  </w14:solidFill>
                </w14:textFill>
              </w:rPr>
              <w:t>, considering o</w:t>
            </w:r>
            <w:r>
              <w:rPr>
                <w:rFonts w:hint="eastAsia"/>
                <w:color w:val="000000" w:themeColor="text1"/>
                <w14:textFill>
                  <w14:solidFill>
                    <w14:schemeClr w14:val="tx1"/>
                  </w14:solidFill>
                </w14:textFill>
              </w:rPr>
              <w:t xml:space="preserve">verhead, </w:t>
            </w:r>
            <w:r>
              <w:rPr>
                <w:color w:val="000000" w:themeColor="text1"/>
                <w14:textFill>
                  <w14:solidFill>
                    <w14:schemeClr w14:val="tx1"/>
                  </w14:solidFill>
                </w14:textFill>
              </w:rPr>
              <w:t>latency</w:t>
            </w:r>
            <w:r>
              <w:rPr>
                <w:rFonts w:hint="eastAsia"/>
                <w:color w:val="000000" w:themeColor="text1"/>
                <w14:textFill>
                  <w14:solidFill>
                    <w14:schemeClr w14:val="tx1"/>
                  </w14:solidFill>
                </w14:textFill>
              </w:rPr>
              <w:t xml:space="preserve">, complexity, monitoring </w:t>
            </w:r>
            <w:r>
              <w:rPr>
                <w:color w:val="000000" w:themeColor="text1"/>
                <w14:textFill>
                  <w14:solidFill>
                    <w14:schemeClr w14:val="tx1"/>
                  </w14:solidFill>
                </w14:textFill>
              </w:rPr>
              <w:t>accuracy</w:t>
            </w:r>
            <w:r>
              <w:rPr>
                <w:rFonts w:hint="eastAsia" w:eastAsia="等线"/>
                <w:color w:val="000000" w:themeColor="text1"/>
                <w14:textFill>
                  <w14:solidFill>
                    <w14:schemeClr w14:val="tx1"/>
                  </w14:solidFill>
                </w14:textFill>
              </w:rPr>
              <w:t xml:space="preserve">, UE </w:t>
            </w:r>
            <w:r>
              <w:rPr>
                <w:rFonts w:eastAsia="等线"/>
                <w:color w:val="000000" w:themeColor="text1"/>
                <w14:textFill>
                  <w14:solidFill>
                    <w14:schemeClr w14:val="tx1"/>
                  </w14:solidFill>
                </w14:textFill>
              </w:rPr>
              <w:t>capability</w:t>
            </w:r>
          </w:p>
          <w:p>
            <w:pPr>
              <w:pStyle w:val="113"/>
              <w:numPr>
                <w:ilvl w:val="1"/>
                <w:numId w:val="35"/>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 xml:space="preserve">Based on </w:t>
            </w:r>
            <w:r>
              <w:rPr>
                <w:rFonts w:eastAsia="宋体"/>
                <w:color w:val="000000" w:themeColor="text1"/>
                <w14:textFill>
                  <w14:solidFill>
                    <w14:schemeClr w14:val="tx1"/>
                  </w14:solidFill>
                </w14:textFill>
              </w:rPr>
              <w:t xml:space="preserve">the output of the </w:t>
            </w:r>
            <w:r>
              <w:rPr>
                <w:color w:val="000000" w:themeColor="text1"/>
                <w14:textFill>
                  <w14:solidFill>
                    <w14:schemeClr w14:val="tx1"/>
                  </w14:solidFill>
                </w14:textFill>
              </w:rPr>
              <w:t xml:space="preserve">CSI reconstruction </w:t>
            </w:r>
            <w:r>
              <w:rPr>
                <w:rFonts w:eastAsia="宋体"/>
                <w:color w:val="000000" w:themeColor="text1"/>
                <w14:textFill>
                  <w14:solidFill>
                    <w14:schemeClr w14:val="tx1"/>
                  </w14:solidFill>
                </w14:textFill>
              </w:rPr>
              <w:t>model at the UE</w:t>
            </w:r>
            <w:r>
              <w:rPr>
                <w:color w:val="000000" w:themeColor="text1"/>
                <w14:textFill>
                  <w14:solidFill>
                    <w14:schemeClr w14:val="tx1"/>
                  </w14:solidFill>
                </w14:textFill>
              </w:rPr>
              <w:t xml:space="preserve"> (Case 2-1)</w:t>
            </w:r>
          </w:p>
          <w:p>
            <w:pPr>
              <w:pStyle w:val="113"/>
              <w:numPr>
                <w:ilvl w:val="2"/>
                <w:numId w:val="35"/>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Note: CSI reconstruction model at the UE-side can be the same as the actual CSI reconstruction model used at the NW-side, a reference model provided by NW, or a proxy model developed by the UE side.</w:t>
            </w:r>
          </w:p>
          <w:p>
            <w:pPr>
              <w:pStyle w:val="113"/>
              <w:numPr>
                <w:ilvl w:val="1"/>
                <w:numId w:val="35"/>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Via direct estimation of intermediate KPI (e.g., SGCS) without reconstructing a target CSI (Case 2-2)</w:t>
            </w:r>
          </w:p>
          <w:p>
            <w:pPr>
              <w:pStyle w:val="113"/>
              <w:numPr>
                <w:ilvl w:val="1"/>
                <w:numId w:val="35"/>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Via estimation of monitoring output other than intermediate KPI</w:t>
            </w:r>
            <w:r>
              <w:rPr>
                <w:rFonts w:hint="eastAsia" w:eastAsia="等线"/>
                <w:color w:val="000000" w:themeColor="text1"/>
                <w14:textFill>
                  <w14:solidFill>
                    <w14:schemeClr w14:val="tx1"/>
                  </w14:solidFill>
                </w14:textFill>
              </w:rPr>
              <w:t xml:space="preserve"> </w:t>
            </w:r>
            <w:r>
              <w:rPr>
                <w:color w:val="000000" w:themeColor="text1"/>
                <w14:textFill>
                  <w14:solidFill>
                    <w14:schemeClr w14:val="tx1"/>
                  </w14:solidFill>
                </w14:textFill>
              </w:rPr>
              <w:t>without reconstructing a target CSI</w:t>
            </w:r>
          </w:p>
          <w:p>
            <w:pPr>
              <w:pStyle w:val="113"/>
              <w:numPr>
                <w:ilvl w:val="1"/>
                <w:numId w:val="35"/>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 xml:space="preserve">Based on precoded RS (e.g., CSI-RS, DMRS) transmitted from NW based on the output of the CSI reconstruction model </w:t>
            </w:r>
          </w:p>
          <w:p>
            <w:pPr>
              <w:pStyle w:val="113"/>
              <w:numPr>
                <w:ilvl w:val="1"/>
                <w:numId w:val="35"/>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Based on the output of the CSI reconstruction model indicated by the NW via legacy eT2 codebook or eT2-like high-resolution codebook</w:t>
            </w:r>
          </w:p>
          <w:p>
            <w:pPr>
              <w:snapToGrid w:val="0"/>
              <w:spacing w:before="72" w:beforeLines="30" w:after="72" w:afterLines="30" w:line="288" w:lineRule="auto"/>
              <w:rPr>
                <w:color w:val="000000" w:themeColor="text1"/>
                <w14:textFill>
                  <w14:solidFill>
                    <w14:schemeClr w14:val="tx1"/>
                  </w14:solidFill>
                </w14:textFill>
              </w:rPr>
            </w:pPr>
            <w:r>
              <w:rPr>
                <w:color w:val="000000" w:themeColor="text1"/>
                <w14:textFill>
                  <w14:solidFill>
                    <w14:schemeClr w14:val="tx1"/>
                  </w14:solidFill>
                </w14:textFill>
              </w:rPr>
              <w:t>Regarding monitoring metrics:</w:t>
            </w:r>
          </w:p>
          <w:p>
            <w:pPr>
              <w:pStyle w:val="113"/>
              <w:numPr>
                <w:ilvl w:val="0"/>
                <w:numId w:val="36"/>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Monitoring accuracy also includes generalization considerations, if applicable.</w:t>
            </w:r>
          </w:p>
          <w:p>
            <w:pPr>
              <w:pStyle w:val="113"/>
              <w:numPr>
                <w:ilvl w:val="0"/>
                <w:numId w:val="36"/>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Complexity also includes LCM complexity, if applicable.</w:t>
            </w:r>
          </w:p>
          <w:p>
            <w:pPr>
              <w:pStyle w:val="113"/>
              <w:numPr>
                <w:ilvl w:val="0"/>
                <w:numId w:val="36"/>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Monitoring overhead, latency, complexity, and accuracy analysis may have to consider using at N&gt;1 CSI feedback occasions.</w:t>
            </w:r>
          </w:p>
          <w:p>
            <w:pPr>
              <w:pStyle w:val="113"/>
              <w:numPr>
                <w:ilvl w:val="0"/>
                <w:numId w:val="36"/>
              </w:numPr>
              <w:snapToGrid w:val="0"/>
              <w:spacing w:before="72" w:beforeLines="30" w:after="72" w:afterLines="30" w:line="288" w:lineRule="auto"/>
              <w:ind w:firstLineChars="0"/>
              <w:jc w:val="both"/>
              <w:rPr>
                <w:color w:val="000000" w:themeColor="text1"/>
                <w14:textFill>
                  <w14:solidFill>
                    <w14:schemeClr w14:val="tx1"/>
                  </w14:solidFill>
                </w14:textFill>
              </w:rPr>
            </w:pPr>
            <w:r>
              <w:rPr>
                <w:rFonts w:hint="eastAsia" w:eastAsia="等线"/>
                <w:color w:val="000000" w:themeColor="text1"/>
                <w14:textFill>
                  <w14:solidFill>
                    <w14:schemeClr w14:val="tx1"/>
                  </w14:solidFill>
                </w14:textFill>
              </w:rPr>
              <w:t>T</w:t>
            </w:r>
            <w:r>
              <w:rPr>
                <w:rFonts w:eastAsia="等线"/>
                <w:color w:val="000000" w:themeColor="text1"/>
                <w14:textFill>
                  <w14:solidFill>
                    <w14:schemeClr w14:val="tx1"/>
                  </w14:solidFill>
                </w14:textFill>
              </w:rPr>
              <w:t>estability</w:t>
            </w:r>
            <w:r>
              <w:rPr>
                <w:rFonts w:hint="eastAsia" w:eastAsia="等线"/>
                <w:color w:val="000000" w:themeColor="text1"/>
                <w14:textFill>
                  <w14:solidFill>
                    <w14:schemeClr w14:val="tx1"/>
                  </w14:solidFill>
                </w14:textFill>
              </w:rPr>
              <w:t xml:space="preserve"> of UE reported metrics</w:t>
            </w:r>
          </w:p>
          <w:p>
            <w:pPr>
              <w:snapToGrid w:val="0"/>
              <w:spacing w:before="72" w:beforeLines="30" w:after="72" w:afterLines="30" w:line="288" w:lineRule="auto"/>
              <w:rPr>
                <w:color w:val="000000" w:themeColor="text1"/>
                <w14:textFill>
                  <w14:solidFill>
                    <w14:schemeClr w14:val="tx1"/>
                  </w14:solidFill>
                </w14:textFill>
              </w:rPr>
            </w:pPr>
            <w:r>
              <w:rPr>
                <w:color w:val="000000" w:themeColor="text1"/>
                <w14:textFill>
                  <w14:solidFill>
                    <w14:schemeClr w14:val="tx1"/>
                  </w14:solidFill>
                </w14:textFill>
              </w:rPr>
              <w:t>Discussion may include the following aspects:</w:t>
            </w:r>
          </w:p>
          <w:p>
            <w:pPr>
              <w:pStyle w:val="113"/>
              <w:numPr>
                <w:ilvl w:val="0"/>
                <w:numId w:val="36"/>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 xml:space="preserve">Consideration of Options 1-5 and their </w:t>
            </w:r>
            <w:r>
              <w:rPr>
                <w:rFonts w:hint="eastAsia" w:eastAsia="宋体"/>
                <w:color w:val="000000" w:themeColor="text1"/>
                <w14:textFill>
                  <w14:solidFill>
                    <w14:schemeClr w14:val="tx1"/>
                  </w14:solidFill>
                </w14:textFill>
              </w:rPr>
              <w:t>option</w:t>
            </w:r>
            <w:r>
              <w:rPr>
                <w:color w:val="000000" w:themeColor="text1"/>
                <w14:textFill>
                  <w14:solidFill>
                    <w14:schemeClr w14:val="tx1"/>
                  </w14:solidFill>
                </w14:textFill>
              </w:rPr>
              <w:t>s for alleviating / resolving the issues related to inter-vendor training collaboration</w:t>
            </w:r>
          </w:p>
          <w:p>
            <w:pPr>
              <w:pStyle w:val="113"/>
              <w:numPr>
                <w:ilvl w:val="0"/>
                <w:numId w:val="36"/>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Temporal domain aspects of CSI compression</w:t>
            </w:r>
          </w:p>
          <w:p>
            <w:pPr>
              <w:pStyle w:val="113"/>
              <w:numPr>
                <w:ilvl w:val="0"/>
                <w:numId w:val="36"/>
              </w:numPr>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How the above monitoring approaches or combination of them may help identifying</w:t>
            </w:r>
            <w:r>
              <w:rPr>
                <w:rFonts w:hint="eastAsia"/>
                <w:color w:val="000000" w:themeColor="text1"/>
                <w14:textFill>
                  <w14:solidFill>
                    <w14:schemeClr w14:val="tx1"/>
                  </w14:solidFill>
                </w14:textFill>
              </w:rPr>
              <w:t xml:space="preserve"> the cause </w:t>
            </w:r>
            <w:r>
              <w:rPr>
                <w:rFonts w:hint="eastAsia" w:eastAsia="等线"/>
                <w:color w:val="000000" w:themeColor="text1"/>
                <w14:textFill>
                  <w14:solidFill>
                    <w14:schemeClr w14:val="tx1"/>
                  </w14:solidFill>
                </w14:textFill>
              </w:rPr>
              <w:t xml:space="preserve">(e.g., NW side, UE side, data drift) </w:t>
            </w:r>
            <w:r>
              <w:rPr>
                <w:rFonts w:hint="eastAsia"/>
                <w:color w:val="000000" w:themeColor="text1"/>
                <w14:textFill>
                  <w14:solidFill>
                    <w14:schemeClr w14:val="tx1"/>
                  </w14:solidFill>
                </w14:textFill>
              </w:rPr>
              <w:t>of the performance degradation</w:t>
            </w:r>
          </w:p>
          <w:p>
            <w:pPr>
              <w:snapToGrid w:val="0"/>
              <w:spacing w:before="72" w:beforeLines="30" w:after="72" w:afterLines="30" w:line="288" w:lineRule="auto"/>
              <w:rPr>
                <w:color w:val="000000" w:themeColor="text1"/>
                <w14:textFill>
                  <w14:solidFill>
                    <w14:schemeClr w14:val="tx1"/>
                  </w14:solidFill>
                </w14:textFill>
              </w:rPr>
            </w:pPr>
            <w:r>
              <w:rPr>
                <w:color w:val="000000" w:themeColor="text1"/>
                <w14:textFill>
                  <w14:solidFill>
                    <w14:schemeClr w14:val="tx1"/>
                  </w14:solidFill>
                </w14:textFill>
              </w:rPr>
              <w:t>Note: for UE-side monitoring, the final reported monitoring output, if specified, may be different, e.g., be further derived based on the output of the above approaches.</w:t>
            </w:r>
          </w:p>
          <w:p>
            <w:pPr>
              <w:snapToGrid w:val="0"/>
              <w:spacing w:before="72" w:beforeLines="30" w:after="72" w:afterLines="30" w:line="288" w:lineRule="auto"/>
              <w:rPr>
                <w:rFonts w:eastAsia="等线"/>
                <w:color w:val="000000" w:themeColor="text1"/>
                <w14:textFill>
                  <w14:solidFill>
                    <w14:schemeClr w14:val="tx1"/>
                  </w14:solidFill>
                </w14:textFill>
              </w:rPr>
            </w:pPr>
            <w:r>
              <w:rPr>
                <w:color w:val="000000" w:themeColor="text1"/>
                <w14:textFill>
                  <w14:solidFill>
                    <w14:schemeClr w14:val="tx1"/>
                  </w14:solidFill>
                </w14:textFill>
              </w:rPr>
              <w:t>Note: implementation-based monitoring solutions can be considered in assessing the necessity of the above monitoring approaches.</w:t>
            </w:r>
          </w:p>
        </w:tc>
      </w:tr>
    </w:tbl>
    <w:p>
      <w:pPr>
        <w:snapToGrid w:val="0"/>
        <w:spacing w:before="72" w:beforeLines="30" w:after="72" w:afterLines="30" w:line="288" w:lineRule="auto"/>
        <w:jc w:val="both"/>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When AI/ML </w:t>
      </w:r>
      <w:r>
        <w:rPr>
          <w:color w:val="000000" w:themeColor="text1"/>
          <w14:textFill>
            <w14:solidFill>
              <w14:schemeClr w14:val="tx1"/>
            </w14:solidFill>
          </w14:textFill>
        </w:rPr>
        <w:t xml:space="preserve">model performance loss happens, it should contribute to the whole two-sided model. Thus, monitoring can be performed at either UE side or NW side to monitor the current </w:t>
      </w:r>
      <w:r>
        <w:rPr>
          <w:rFonts w:eastAsia="宋体"/>
          <w:color w:val="000000" w:themeColor="text1"/>
          <w14:textFill>
            <w14:solidFill>
              <w14:schemeClr w14:val="tx1"/>
            </w14:solidFill>
          </w14:textFill>
        </w:rPr>
        <w:t xml:space="preserve">AI/ML model </w:t>
      </w:r>
      <w:r>
        <w:rPr>
          <w:color w:val="000000" w:themeColor="text1"/>
          <w14:textFill>
            <w14:solidFill>
              <w14:schemeClr w14:val="tx1"/>
            </w14:solidFill>
          </w14:textFill>
        </w:rPr>
        <w:t>performance</w:t>
      </w:r>
      <w:r>
        <w:rPr>
          <w:rFonts w:eastAsia="宋体"/>
          <w:color w:val="000000" w:themeColor="text1"/>
          <w14:textFill>
            <w14:solidFill>
              <w14:schemeClr w14:val="tx1"/>
            </w14:solidFill>
          </w14:textFill>
        </w:rPr>
        <w:t xml:space="preserve">. </w:t>
      </w: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Network-side performance monitoring</w:t>
      </w:r>
    </w:p>
    <w:p>
      <w:pPr>
        <w:widowControl w:val="0"/>
        <w:numPr>
          <w:ilvl w:val="255"/>
          <w:numId w:val="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eastAsia="宋体"/>
          <w:color w:val="000000" w:themeColor="text1"/>
          <w14:textFill>
            <w14:solidFill>
              <w14:schemeClr w14:val="tx1"/>
            </w14:solidFill>
          </w14:textFill>
        </w:rPr>
        <w:t>For NW-side monitoring,</w:t>
      </w:r>
      <w:r>
        <w:rPr>
          <w:color w:val="000000" w:themeColor="text1"/>
          <w14:textFill>
            <w14:solidFill>
              <w14:schemeClr w14:val="tx1"/>
            </w14:solidFill>
          </w14:textFill>
        </w:rPr>
        <w:t xml:space="preserve"> UE </w:t>
      </w:r>
      <w:r>
        <w:rPr>
          <w:rFonts w:eastAsia="宋体"/>
          <w:color w:val="000000" w:themeColor="text1"/>
          <w14:textFill>
            <w14:solidFill>
              <w14:schemeClr w14:val="tx1"/>
            </w14:solidFill>
          </w14:textFill>
        </w:rPr>
        <w:t xml:space="preserve">needs to </w:t>
      </w:r>
      <w:r>
        <w:rPr>
          <w:color w:val="000000" w:themeColor="text1"/>
          <w14:textFill>
            <w14:solidFill>
              <w14:schemeClr w14:val="tx1"/>
            </w14:solidFill>
          </w14:textFill>
        </w:rPr>
        <w:t>report ground-truth CSI to network to calculate the monitoring metrics due to the fact that network cannot directly obtain the ground-truth label. In order to improve the performance of network-based model monitoring, a higher resolution ground-truth label needs to be reported by UE. Similar to data collection, an enhanced Type II codebook with acceptable overhead can be a promising solution to NW-side monitoring, since this solution</w:t>
      </w:r>
      <w:r>
        <w:rPr>
          <w:rFonts w:eastAsia="宋体"/>
          <w:color w:val="000000" w:themeColor="text1"/>
          <w14:textFill>
            <w14:solidFill>
              <w14:schemeClr w14:val="tx1"/>
            </w14:solidFill>
          </w14:textFill>
        </w:rPr>
        <w:t xml:space="preserve"> </w:t>
      </w:r>
      <w:r>
        <w:rPr>
          <w:color w:val="000000" w:themeColor="text1"/>
          <w14:textFill>
            <w14:solidFill>
              <w14:schemeClr w14:val="tx1"/>
            </w14:solidFill>
          </w14:textFill>
        </w:rPr>
        <w:t>provides good performance monitoring accuracy a</w:t>
      </w:r>
      <w:r>
        <w:rPr>
          <w:rFonts w:eastAsia="宋体"/>
          <w:color w:val="000000" w:themeColor="text1"/>
          <w14:textFill>
            <w14:solidFill>
              <w14:schemeClr w14:val="tx1"/>
            </w14:solidFill>
          </w14:textFill>
        </w:rPr>
        <w:t>ccording to the observations in TR</w:t>
      </w:r>
      <w:r>
        <w:rPr>
          <w:rFonts w:hint="eastAsia" w:eastAsia="宋体"/>
          <w:color w:val="000000" w:themeColor="text1"/>
          <w14:textFill>
            <w14:solidFill>
              <w14:schemeClr w14:val="tx1"/>
            </w14:solidFill>
          </w14:textFill>
        </w:rPr>
        <w:t xml:space="preserve"> 38.843</w:t>
      </w:r>
      <w:r>
        <w:rPr>
          <w:color w:val="000000" w:themeColor="text1"/>
          <w14:textFill>
            <w14:solidFill>
              <w14:schemeClr w14:val="tx1"/>
            </w14:solidFill>
          </w14:textFill>
        </w:rPr>
        <w:t>. In addition, some companies proposed to apply SRS for NW-side performance monitoring. To our understanding, channel reciprocity is weak in FDD system that it may be inaccurate for Network to determine the downlink channel status via monitoring the performance of uplink SRS. Therefore, we propose to further study</w:t>
      </w:r>
      <w:r>
        <w:rPr>
          <w:rFonts w:eastAsia="宋体"/>
          <w:color w:val="000000" w:themeColor="text1"/>
          <w14:textFill>
            <w14:solidFill>
              <w14:schemeClr w14:val="tx1"/>
            </w14:solidFill>
          </w14:textFill>
        </w:rPr>
        <w:t xml:space="preserve"> at least </w:t>
      </w:r>
      <w:r>
        <w:rPr>
          <w:color w:val="000000" w:themeColor="text1"/>
          <w14:textFill>
            <w14:solidFill>
              <w14:schemeClr w14:val="tx1"/>
            </w14:solidFill>
          </w14:textFill>
        </w:rPr>
        <w:t>the following case for model performance monitoring based on intermediate KPIs in prior,</w:t>
      </w:r>
    </w:p>
    <w:p>
      <w:pPr>
        <w:numPr>
          <w:ilvl w:val="0"/>
          <w:numId w:val="37"/>
        </w:num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NW-side monitoring based on the target CSI with realistic channel estimation associated to the CSI report, reported by the UE or obtained from the UE</w:t>
      </w:r>
      <w:r>
        <w:rPr>
          <w:rFonts w:eastAsia="宋体"/>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side. </w:t>
      </w:r>
    </w:p>
    <w:p>
      <w:pPr>
        <w:pStyle w:val="147"/>
        <w:snapToGrid w:val="0"/>
        <w:spacing w:before="72" w:after="72"/>
        <w:jc w:val="both"/>
        <w:rPr>
          <w:b w:val="0"/>
          <w:color w:val="000000" w:themeColor="text1"/>
          <w:szCs w:val="20"/>
          <w:lang w:val="en-US"/>
          <w14:textFill>
            <w14:solidFill>
              <w14:schemeClr w14:val="tx1"/>
            </w14:solidFill>
          </w14:textFill>
        </w:rPr>
      </w:pPr>
      <w:bookmarkStart w:id="22" w:name="_Hlk162705102"/>
      <w:r>
        <w:rPr>
          <w:rFonts w:hint="eastAsia"/>
          <w:b w:val="0"/>
          <w:color w:val="000000" w:themeColor="text1"/>
          <w:szCs w:val="20"/>
          <w:lang w:val="en-US"/>
          <w14:textFill>
            <w14:solidFill>
              <w14:schemeClr w14:val="tx1"/>
            </w14:solidFill>
          </w14:textFill>
        </w:rPr>
        <w:t xml:space="preserve">Prioritize to study the specification impacts on at least the following case for model performance monitoring, </w:t>
      </w:r>
    </w:p>
    <w:p>
      <w:pPr>
        <w:pStyle w:val="113"/>
        <w:numPr>
          <w:ilvl w:val="0"/>
          <w:numId w:val="37"/>
        </w:numPr>
        <w:snapToGrid w:val="0"/>
        <w:spacing w:before="72" w:beforeLines="30" w:after="72" w:afterLines="30" w:line="288" w:lineRule="auto"/>
        <w:ind w:firstLineChars="0"/>
        <w:jc w:val="both"/>
        <w:rPr>
          <w:i/>
          <w:color w:val="000000" w:themeColor="text1"/>
          <w14:textFill>
            <w14:solidFill>
              <w14:schemeClr w14:val="tx1"/>
            </w14:solidFill>
          </w14:textFill>
        </w:rPr>
      </w:pPr>
      <w:r>
        <w:rPr>
          <w:i/>
          <w:color w:val="000000" w:themeColor="text1"/>
          <w14:textFill>
            <w14:solidFill>
              <w14:schemeClr w14:val="tx1"/>
            </w14:solidFill>
          </w14:textFill>
        </w:rPr>
        <w:t>NW-side monitoring based on the target CSI with realistic channel estimation associated to the CSI report, reported by the UE.</w:t>
      </w:r>
    </w:p>
    <w:p>
      <w:pPr>
        <w:pStyle w:val="113"/>
        <w:snapToGrid w:val="0"/>
        <w:spacing w:before="72" w:beforeLines="30" w:after="72" w:afterLines="30" w:line="288" w:lineRule="auto"/>
        <w:ind w:firstLine="0" w:firstLineChars="0"/>
        <w:jc w:val="both"/>
        <w:rPr>
          <w:i/>
          <w:color w:val="000000" w:themeColor="text1"/>
          <w14:textFill>
            <w14:solidFill>
              <w14:schemeClr w14:val="tx1"/>
            </w14:solidFill>
          </w14:textFill>
        </w:rPr>
      </w:pPr>
    </w:p>
    <w:bookmarkEnd w:id="22"/>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UE-side performance monitoring</w:t>
      </w:r>
    </w:p>
    <w:p>
      <w:pPr>
        <w:adjustRightInd w:val="0"/>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hint="eastAsia" w:eastAsia="宋体"/>
          <w:color w:val="000000" w:themeColor="text1"/>
          <w14:textFill>
            <w14:solidFill>
              <w14:schemeClr w14:val="tx1"/>
            </w14:solidFill>
          </w14:textFill>
        </w:rPr>
        <w:t xml:space="preserve">In RAN1#119 meeting, the performance metric for </w:t>
      </w:r>
      <w:r>
        <w:rPr>
          <w:color w:val="000000" w:themeColor="text1"/>
          <w:szCs w:val="20"/>
          <w14:textFill>
            <w14:solidFill>
              <w14:schemeClr w14:val="tx1"/>
            </w14:solidFill>
          </w14:textFill>
        </w:rPr>
        <w:t>UE-side monitoring</w:t>
      </w:r>
      <w:r>
        <w:rPr>
          <w:rFonts w:eastAsiaTheme="minorEastAsia"/>
          <w:color w:val="000000" w:themeColor="text1"/>
          <w:szCs w:val="20"/>
          <w14:textFill>
            <w14:solidFill>
              <w14:schemeClr w14:val="tx1"/>
            </w14:solidFill>
          </w14:textFill>
        </w:rPr>
        <w:t xml:space="preserve"> </w:t>
      </w:r>
      <w:r>
        <w:rPr>
          <w:rFonts w:hint="eastAsia" w:eastAsiaTheme="minorEastAsia"/>
          <w:color w:val="000000" w:themeColor="text1"/>
          <w:szCs w:val="20"/>
          <w14:textFill>
            <w14:solidFill>
              <w14:schemeClr w14:val="tx1"/>
            </w14:solidFill>
          </w14:textFill>
        </w:rPr>
        <w:t>b</w:t>
      </w:r>
      <w:r>
        <w:rPr>
          <w:rFonts w:eastAsiaTheme="minorEastAsia"/>
          <w:color w:val="000000" w:themeColor="text1"/>
          <w:szCs w:val="20"/>
          <w14:textFill>
            <w14:solidFill>
              <w14:schemeClr w14:val="tx1"/>
            </w14:solidFill>
          </w14:textFill>
        </w:rPr>
        <w:t>ased on precoded RS</w:t>
      </w:r>
      <w:r>
        <w:rPr>
          <w:rFonts w:hint="eastAsia" w:eastAsiaTheme="minorEastAsia"/>
          <w:color w:val="000000" w:themeColor="text1"/>
          <w:szCs w:val="20"/>
          <w14:textFill>
            <w14:solidFill>
              <w14:schemeClr w14:val="tx1"/>
            </w14:solidFill>
          </w14:textFill>
        </w:rPr>
        <w:t xml:space="preserve"> was initially discussed and the following proposal was obtained.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before="72" w:beforeLines="30" w:after="72" w:afterLines="30" w:line="288" w:lineRule="auto"/>
              <w:jc w:val="both"/>
              <w:rPr>
                <w:b/>
                <w:color w:val="000000" w:themeColor="text1"/>
                <w:szCs w:val="20"/>
                <w:lang w:val="en-GB" w:eastAsia="en-US"/>
                <w14:textFill>
                  <w14:solidFill>
                    <w14:schemeClr w14:val="tx1"/>
                  </w14:solidFill>
                </w14:textFill>
              </w:rPr>
            </w:pPr>
            <w:r>
              <w:rPr>
                <w:b/>
                <w:color w:val="000000" w:themeColor="text1"/>
                <w:szCs w:val="20"/>
                <w:lang w:val="en-GB" w:eastAsia="en-US"/>
                <w14:textFill>
                  <w14:solidFill>
                    <w14:schemeClr w14:val="tx1"/>
                  </w14:solidFill>
                </w14:textFill>
              </w:rPr>
              <w:t>Proposal</w:t>
            </w:r>
          </w:p>
          <w:p>
            <w:pPr>
              <w:suppressAutoHyphens/>
              <w:snapToGrid w:val="0"/>
              <w:spacing w:before="72" w:beforeLines="30" w:after="72" w:afterLines="30" w:line="288" w:lineRule="auto"/>
              <w:jc w:val="both"/>
              <w:rPr>
                <w:rFonts w:eastAsia="宋体"/>
                <w:color w:val="000000" w:themeColor="text1"/>
                <w:szCs w:val="20"/>
                <w:lang w:val="en-GB"/>
                <w14:textFill>
                  <w14:solidFill>
                    <w14:schemeClr w14:val="tx1"/>
                  </w14:solidFill>
                </w14:textFill>
              </w:rPr>
            </w:pPr>
            <w:r>
              <w:rPr>
                <w:rFonts w:eastAsia="宋体"/>
                <w:color w:val="000000" w:themeColor="text1"/>
                <w:szCs w:val="20"/>
                <w:lang w:val="en-GB"/>
                <w14:textFill>
                  <w14:solidFill>
                    <w14:schemeClr w14:val="tx1"/>
                  </w14:solidFill>
                </w14:textFill>
              </w:rPr>
              <w:t xml:space="preserve">For UE side monitoring based on precoded RS, companies are encouraged to provide evaluations considering monitoring accuracy KPI (i.e., </w:t>
            </w:r>
            <w:r>
              <w:rPr>
                <w:rFonts w:eastAsia="Malgun Gothic"/>
                <w:color w:val="000000" w:themeColor="text1"/>
                <w:szCs w:val="20"/>
                <w:lang w:val="en-GB" w:eastAsia="en-US"/>
                <w14:textFill>
                  <w14:solidFill>
                    <w14:schemeClr w14:val="tx1"/>
                  </w14:solidFill>
                </w14:textFill>
              </w:rPr>
              <w:t>(KPI</w:t>
            </w:r>
            <w:r>
              <w:rPr>
                <w:rFonts w:eastAsia="Malgun Gothic"/>
                <w:color w:val="000000" w:themeColor="text1"/>
                <w:szCs w:val="20"/>
                <w:vertAlign w:val="subscript"/>
                <w:lang w:val="en-GB" w:eastAsia="en-US"/>
                <w14:textFill>
                  <w14:solidFill>
                    <w14:schemeClr w14:val="tx1"/>
                  </w14:solidFill>
                </w14:textFill>
              </w:rPr>
              <w:t>Actual</w:t>
            </w:r>
            <w:r>
              <w:rPr>
                <w:rFonts w:eastAsia="宋体"/>
                <w:color w:val="000000" w:themeColor="text1"/>
                <w:szCs w:val="20"/>
                <w:lang w:val="en-GB"/>
                <w14:textFill>
                  <w14:solidFill>
                    <w14:schemeClr w14:val="tx1"/>
                  </w14:solidFill>
                </w14:textFill>
              </w:rPr>
              <w:t xml:space="preserve"> and </w:t>
            </w:r>
            <w:r>
              <w:rPr>
                <w:rFonts w:eastAsia="Malgun Gothic"/>
                <w:color w:val="000000" w:themeColor="text1"/>
                <w:szCs w:val="20"/>
                <w:lang w:val="en-GB" w:eastAsia="en-US"/>
                <w14:textFill>
                  <w14:solidFill>
                    <w14:schemeClr w14:val="tx1"/>
                  </w14:solidFill>
                </w14:textFill>
              </w:rPr>
              <w:t>KPI</w:t>
            </w:r>
            <w:r>
              <w:rPr>
                <w:rFonts w:eastAsia="Malgun Gothic"/>
                <w:color w:val="000000" w:themeColor="text1"/>
                <w:szCs w:val="20"/>
                <w:vertAlign w:val="subscript"/>
                <w:lang w:val="en-GB" w:eastAsia="en-US"/>
                <w14:textFill>
                  <w14:solidFill>
                    <w14:schemeClr w14:val="tx1"/>
                  </w14:solidFill>
                </w14:textFill>
              </w:rPr>
              <w:t>Actual</w:t>
            </w:r>
            <w:r>
              <w:rPr>
                <w:rFonts w:eastAsia="宋体"/>
                <w:color w:val="000000" w:themeColor="text1"/>
                <w:szCs w:val="20"/>
                <w:lang w:val="en-GB"/>
                <w14:textFill>
                  <w14:solidFill>
                    <w14:schemeClr w14:val="tx1"/>
                  </w14:solidFill>
                </w14:textFill>
              </w:rPr>
              <w:t>) based on precoding gain, i.e.,</w:t>
            </w:r>
            <m:oMath>
              <m:r>
                <m:rPr>
                  <m:sty m:val="p"/>
                </m:rPr>
                <w:rPr>
                  <w:rFonts w:ascii="Cambria Math" w:hAnsi="Cambria Math" w:eastAsia="宋体"/>
                  <w:color w:val="000000" w:themeColor="text1"/>
                  <w:szCs w:val="20"/>
                  <w14:textFill>
                    <w14:solidFill>
                      <w14:schemeClr w14:val="tx1"/>
                    </w14:solidFill>
                  </w14:textFill>
                </w:rPr>
                <m:t>KP</m:t>
              </m:r>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I</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Actual</m:t>
                  </m:r>
                  <m:ctrlPr>
                    <w:rPr>
                      <w:rFonts w:ascii="Cambria Math" w:hAnsi="Cambria Math" w:eastAsia="宋体"/>
                      <w:color w:val="000000" w:themeColor="text1"/>
                      <w:szCs w:val="20"/>
                      <w14:textFill>
                        <w14:solidFill>
                          <w14:schemeClr w14:val="tx1"/>
                        </w14:solidFill>
                      </w14:textFill>
                    </w:rPr>
                  </m:ctrlPr>
                </m:sub>
              </m:sSub>
              <m:r>
                <m:rPr>
                  <m:sty m:val="p"/>
                </m:rPr>
                <w:rPr>
                  <w:rFonts w:ascii="Cambria Math" w:hAnsi="Cambria Math" w:eastAsia="宋体"/>
                  <w:color w:val="000000" w:themeColor="text1"/>
                  <w:szCs w:val="20"/>
                  <w14:textFill>
                    <w14:solidFill>
                      <w14:schemeClr w14:val="tx1"/>
                    </w14:solidFill>
                  </w14:textFill>
                </w:rPr>
                <m:t>=</m:t>
              </m:r>
              <m:f>
                <m:fPr>
                  <m:ctrlPr>
                    <w:rPr>
                      <w:rFonts w:ascii="Cambria Math" w:hAnsi="Cambria Math" w:eastAsia="宋体"/>
                      <w:color w:val="000000" w:themeColor="text1"/>
                      <w:szCs w:val="20"/>
                      <w14:textFill>
                        <w14:solidFill>
                          <w14:schemeClr w14:val="tx1"/>
                        </w14:solidFill>
                      </w14:textFill>
                    </w:rPr>
                  </m:ctrlPr>
                </m:fPr>
                <m:num>
                  <m:sSup>
                    <m:sSupPr>
                      <m:ctrlPr>
                        <w:rPr>
                          <w:rFonts w:ascii="Cambria Math" w:hAnsi="Cambria Math" w:eastAsia="宋体"/>
                          <w:color w:val="000000" w:themeColor="text1"/>
                          <w:szCs w:val="20"/>
                          <w14:textFill>
                            <w14:solidFill>
                              <w14:schemeClr w14:val="tx1"/>
                            </w14:solidFill>
                          </w14:textFill>
                        </w:rPr>
                      </m:ctrlPr>
                    </m:sSupPr>
                    <m:e>
                      <m:d>
                        <m:dPr>
                          <m:begChr m:val="‖"/>
                          <m:endChr m:val="‖"/>
                          <m:ctrlPr>
                            <w:rPr>
                              <w:rFonts w:ascii="Cambria Math" w:hAnsi="Cambria Math" w:eastAsia="宋体"/>
                              <w:color w:val="000000" w:themeColor="text1"/>
                              <w:szCs w:val="20"/>
                              <w14:textFill>
                                <w14:solidFill>
                                  <w14:schemeClr w14:val="tx1"/>
                                </w14:solidFill>
                              </w14:textFill>
                            </w:rPr>
                          </m:ctrlPr>
                        </m:dPr>
                        <m:e>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H</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Actual</m:t>
                              </m:r>
                              <m:ctrlPr>
                                <w:rPr>
                                  <w:rFonts w:ascii="Cambria Math" w:hAnsi="Cambria Math" w:eastAsia="宋体"/>
                                  <w:color w:val="000000" w:themeColor="text1"/>
                                  <w:szCs w:val="20"/>
                                  <w14:textFill>
                                    <w14:solidFill>
                                      <w14:schemeClr w14:val="tx1"/>
                                    </w14:solidFill>
                                  </w14:textFill>
                                </w:rPr>
                              </m:ctrlPr>
                            </m:sub>
                          </m:sSub>
                          <m:r>
                            <m:rPr>
                              <m:sty m:val="p"/>
                            </m:rPr>
                            <w:rPr>
                              <w:rFonts w:ascii="Cambria Math" w:hAnsi="Cambria Math" w:eastAsia="宋体"/>
                              <w:color w:val="000000" w:themeColor="text1"/>
                              <w:szCs w:val="20"/>
                              <w14:textFill>
                                <w14:solidFill>
                                  <w14:schemeClr w14:val="tx1"/>
                                </w14:solidFill>
                              </w14:textFill>
                            </w:rPr>
                            <m:t>⋅</m:t>
                          </m:r>
                          <m:acc>
                            <m:accPr>
                              <m:ctrlPr>
                                <w:rPr>
                                  <w:rFonts w:ascii="Cambria Math" w:hAnsi="Cambria Math" w:eastAsia="宋体"/>
                                  <w:color w:val="000000" w:themeColor="text1"/>
                                  <w:szCs w:val="20"/>
                                  <w14:textFill>
                                    <w14:solidFill>
                                      <w14:schemeClr w14:val="tx1"/>
                                    </w14:solidFill>
                                  </w14:textFill>
                                </w:rPr>
                              </m:ctrlPr>
                            </m:accPr>
                            <m:e>
                              <m:r>
                                <m:rPr>
                                  <m:sty m:val="p"/>
                                </m:rPr>
                                <w:rPr>
                                  <w:rFonts w:ascii="Cambria Math" w:hAnsi="Cambria Math" w:eastAsia="宋体"/>
                                  <w:color w:val="000000" w:themeColor="text1"/>
                                  <w:szCs w:val="20"/>
                                  <w14:textFill>
                                    <w14:solidFill>
                                      <w14:schemeClr w14:val="tx1"/>
                                    </w14:solidFill>
                                  </w14:textFill>
                                </w:rPr>
                                <m:t>v</m:t>
                              </m:r>
                              <m:ctrlPr>
                                <w:rPr>
                                  <w:rFonts w:ascii="Cambria Math" w:hAnsi="Cambria Math" w:eastAsia="宋体"/>
                                  <w:color w:val="000000" w:themeColor="text1"/>
                                  <w:szCs w:val="20"/>
                                  <w14:textFill>
                                    <w14:solidFill>
                                      <w14:schemeClr w14:val="tx1"/>
                                    </w14:solidFill>
                                  </w14:textFill>
                                </w:rPr>
                              </m:ctrlPr>
                            </m:e>
                          </m:acc>
                          <m:ctrlPr>
                            <w:rPr>
                              <w:rFonts w:ascii="Cambria Math" w:hAnsi="Cambria Math" w:eastAsia="宋体"/>
                              <w:color w:val="000000" w:themeColor="text1"/>
                              <w:szCs w:val="20"/>
                              <w14:textFill>
                                <w14:solidFill>
                                  <w14:schemeClr w14:val="tx1"/>
                                </w14:solidFill>
                              </w14:textFill>
                            </w:rPr>
                          </m:ctrlPr>
                        </m:e>
                      </m:d>
                      <m:ctrlPr>
                        <w:rPr>
                          <w:rFonts w:ascii="Cambria Math" w:hAnsi="Cambria Math" w:eastAsia="宋体"/>
                          <w:color w:val="000000" w:themeColor="text1"/>
                          <w:szCs w:val="20"/>
                          <w14:textFill>
                            <w14:solidFill>
                              <w14:schemeClr w14:val="tx1"/>
                            </w14:solidFill>
                          </w14:textFill>
                        </w:rPr>
                      </m:ctrlPr>
                    </m:e>
                    <m:sup>
                      <m:r>
                        <m:rPr>
                          <m:sty m:val="p"/>
                        </m:rPr>
                        <w:rPr>
                          <w:rFonts w:ascii="Cambria Math" w:hAnsi="Cambria Math" w:eastAsia="宋体"/>
                          <w:color w:val="000000" w:themeColor="text1"/>
                          <w:szCs w:val="20"/>
                          <w14:textFill>
                            <w14:solidFill>
                              <w14:schemeClr w14:val="tx1"/>
                            </w14:solidFill>
                          </w14:textFill>
                        </w:rPr>
                        <m:t>2</m:t>
                      </m:r>
                      <m:ctrlPr>
                        <w:rPr>
                          <w:rFonts w:ascii="Cambria Math" w:hAnsi="Cambria Math" w:eastAsia="宋体"/>
                          <w:color w:val="000000" w:themeColor="text1"/>
                          <w:szCs w:val="20"/>
                          <w14:textFill>
                            <w14:solidFill>
                              <w14:schemeClr w14:val="tx1"/>
                            </w14:solidFill>
                          </w14:textFill>
                        </w:rPr>
                      </m:ctrlPr>
                    </m:sup>
                  </m:sSup>
                  <m:ctrlPr>
                    <w:rPr>
                      <w:rFonts w:ascii="Cambria Math" w:hAnsi="Cambria Math" w:eastAsia="宋体"/>
                      <w:color w:val="000000" w:themeColor="text1"/>
                      <w:szCs w:val="20"/>
                      <w14:textFill>
                        <w14:solidFill>
                          <w14:schemeClr w14:val="tx1"/>
                        </w14:solidFill>
                      </w14:textFill>
                    </w:rPr>
                  </m:ctrlPr>
                </m:num>
                <m:den>
                  <m:sSup>
                    <m:sSupPr>
                      <m:ctrlPr>
                        <w:rPr>
                          <w:rFonts w:ascii="Cambria Math" w:hAnsi="Cambria Math" w:eastAsia="宋体"/>
                          <w:color w:val="000000" w:themeColor="text1"/>
                          <w:szCs w:val="20"/>
                          <w14:textFill>
                            <w14:solidFill>
                              <w14:schemeClr w14:val="tx1"/>
                            </w14:solidFill>
                          </w14:textFill>
                        </w:rPr>
                      </m:ctrlPr>
                    </m:sSupPr>
                    <m:e>
                      <m:sSub>
                        <m:sSubPr>
                          <m:ctrlPr>
                            <w:rPr>
                              <w:rFonts w:ascii="Cambria Math" w:hAnsi="Cambria Math" w:eastAsia="宋体"/>
                              <w:color w:val="000000" w:themeColor="text1"/>
                              <w:szCs w:val="20"/>
                              <w14:textFill>
                                <w14:solidFill>
                                  <w14:schemeClr w14:val="tx1"/>
                                </w14:solidFill>
                              </w14:textFill>
                            </w:rPr>
                          </m:ctrlPr>
                        </m:sSubPr>
                        <m:e>
                          <m:d>
                            <m:dPr>
                              <m:begChr m:val="‖"/>
                              <m:endChr m:val="‖"/>
                              <m:ctrlPr>
                                <w:rPr>
                                  <w:rFonts w:ascii="Cambria Math" w:hAnsi="Cambria Math" w:eastAsia="宋体"/>
                                  <w:color w:val="000000" w:themeColor="text1"/>
                                  <w:szCs w:val="20"/>
                                  <w14:textFill>
                                    <w14:solidFill>
                                      <w14:schemeClr w14:val="tx1"/>
                                    </w14:solidFill>
                                  </w14:textFill>
                                </w:rPr>
                              </m:ctrlPr>
                            </m:dPr>
                            <m:e>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H</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Actual</m:t>
                                  </m:r>
                                  <m:ctrlPr>
                                    <w:rPr>
                                      <w:rFonts w:ascii="Cambria Math" w:hAnsi="Cambria Math" w:eastAsia="宋体"/>
                                      <w:color w:val="000000" w:themeColor="text1"/>
                                      <w:szCs w:val="20"/>
                                      <w14:textFill>
                                        <w14:solidFill>
                                          <w14:schemeClr w14:val="tx1"/>
                                        </w14:solidFill>
                                      </w14:textFill>
                                    </w:rPr>
                                  </m:ctrlPr>
                                </m:sub>
                              </m:sSub>
                              <m:ctrlPr>
                                <w:rPr>
                                  <w:rFonts w:ascii="Cambria Math" w:hAnsi="Cambria Math" w:eastAsia="宋体"/>
                                  <w:color w:val="000000" w:themeColor="text1"/>
                                  <w:szCs w:val="20"/>
                                  <w14:textFill>
                                    <w14:solidFill>
                                      <w14:schemeClr w14:val="tx1"/>
                                    </w14:solidFill>
                                  </w14:textFill>
                                </w:rPr>
                              </m:ctrlPr>
                            </m:e>
                          </m:d>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F</m:t>
                          </m:r>
                          <m:ctrlPr>
                            <w:rPr>
                              <w:rFonts w:ascii="Cambria Math" w:hAnsi="Cambria Math" w:eastAsia="宋体"/>
                              <w:color w:val="000000" w:themeColor="text1"/>
                              <w:szCs w:val="20"/>
                              <w14:textFill>
                                <w14:solidFill>
                                  <w14:schemeClr w14:val="tx1"/>
                                </w14:solidFill>
                              </w14:textFill>
                            </w:rPr>
                          </m:ctrlPr>
                        </m:sub>
                      </m:sSub>
                      <m:ctrlPr>
                        <w:rPr>
                          <w:rFonts w:ascii="Cambria Math" w:hAnsi="Cambria Math" w:eastAsia="宋体"/>
                          <w:color w:val="000000" w:themeColor="text1"/>
                          <w:szCs w:val="20"/>
                          <w14:textFill>
                            <w14:solidFill>
                              <w14:schemeClr w14:val="tx1"/>
                            </w14:solidFill>
                          </w14:textFill>
                        </w:rPr>
                      </m:ctrlPr>
                    </m:e>
                    <m:sup>
                      <m:r>
                        <m:rPr>
                          <m:sty m:val="p"/>
                        </m:rPr>
                        <w:rPr>
                          <w:rFonts w:ascii="Cambria Math" w:hAnsi="Cambria Math" w:eastAsia="宋体"/>
                          <w:color w:val="000000" w:themeColor="text1"/>
                          <w:szCs w:val="20"/>
                          <w14:textFill>
                            <w14:solidFill>
                              <w14:schemeClr w14:val="tx1"/>
                            </w14:solidFill>
                          </w14:textFill>
                        </w:rPr>
                        <m:t>2</m:t>
                      </m:r>
                      <m:ctrlPr>
                        <w:rPr>
                          <w:rFonts w:ascii="Cambria Math" w:hAnsi="Cambria Math" w:eastAsia="宋体"/>
                          <w:color w:val="000000" w:themeColor="text1"/>
                          <w:szCs w:val="20"/>
                          <w14:textFill>
                            <w14:solidFill>
                              <w14:schemeClr w14:val="tx1"/>
                            </w14:solidFill>
                          </w14:textFill>
                        </w:rPr>
                      </m:ctrlPr>
                    </m:sup>
                  </m:sSup>
                  <m:ctrlPr>
                    <w:rPr>
                      <w:rFonts w:ascii="Cambria Math" w:hAnsi="Cambria Math" w:eastAsia="宋体"/>
                      <w:color w:val="000000" w:themeColor="text1"/>
                      <w:szCs w:val="20"/>
                      <w14:textFill>
                        <w14:solidFill>
                          <w14:schemeClr w14:val="tx1"/>
                        </w14:solidFill>
                      </w14:textFill>
                    </w:rPr>
                  </m:ctrlPr>
                </m:den>
              </m:f>
            </m:oMath>
            <w:r>
              <w:rPr>
                <w:rFonts w:eastAsia="宋体"/>
                <w:color w:val="000000" w:themeColor="text1"/>
                <w:szCs w:val="20"/>
                <w:lang w:val="en-GB"/>
                <w14:textFill>
                  <w14:solidFill>
                    <w14:schemeClr w14:val="tx1"/>
                  </w14:solidFill>
                </w14:textFill>
              </w:rPr>
              <w:t xml:space="preserve"> and </w:t>
            </w:r>
            <m:oMath>
              <m:r>
                <m:rPr>
                  <m:sty m:val="p"/>
                </m:rPr>
                <w:rPr>
                  <w:rFonts w:ascii="Cambria Math" w:hAnsi="Cambria Math" w:eastAsia="宋体"/>
                  <w:color w:val="000000" w:themeColor="text1"/>
                  <w:szCs w:val="20"/>
                  <w14:textFill>
                    <w14:solidFill>
                      <w14:schemeClr w14:val="tx1"/>
                    </w14:solidFill>
                  </w14:textFill>
                </w:rPr>
                <m:t>KP</m:t>
              </m:r>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I</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Genie</m:t>
                  </m:r>
                  <m:ctrlPr>
                    <w:rPr>
                      <w:rFonts w:ascii="Cambria Math" w:hAnsi="Cambria Math" w:eastAsia="宋体"/>
                      <w:color w:val="000000" w:themeColor="text1"/>
                      <w:szCs w:val="20"/>
                      <w14:textFill>
                        <w14:solidFill>
                          <w14:schemeClr w14:val="tx1"/>
                        </w14:solidFill>
                      </w14:textFill>
                    </w:rPr>
                  </m:ctrlPr>
                </m:sub>
              </m:sSub>
              <m:r>
                <m:rPr>
                  <m:sty m:val="p"/>
                </m:rPr>
                <w:rPr>
                  <w:rFonts w:ascii="Cambria Math" w:hAnsi="Cambria Math" w:eastAsia="宋体"/>
                  <w:color w:val="000000" w:themeColor="text1"/>
                  <w:szCs w:val="20"/>
                  <w14:textFill>
                    <w14:solidFill>
                      <w14:schemeClr w14:val="tx1"/>
                    </w14:solidFill>
                  </w14:textFill>
                </w:rPr>
                <m:t>=</m:t>
              </m:r>
              <m:f>
                <m:fPr>
                  <m:ctrlPr>
                    <w:rPr>
                      <w:rFonts w:ascii="Cambria Math" w:hAnsi="Cambria Math" w:eastAsia="宋体"/>
                      <w:color w:val="000000" w:themeColor="text1"/>
                      <w:szCs w:val="20"/>
                      <w14:textFill>
                        <w14:solidFill>
                          <w14:schemeClr w14:val="tx1"/>
                        </w14:solidFill>
                      </w14:textFill>
                    </w:rPr>
                  </m:ctrlPr>
                </m:fPr>
                <m:num>
                  <m:sSup>
                    <m:sSupPr>
                      <m:ctrlPr>
                        <w:rPr>
                          <w:rFonts w:ascii="Cambria Math" w:hAnsi="Cambria Math" w:eastAsia="宋体"/>
                          <w:color w:val="000000" w:themeColor="text1"/>
                          <w:szCs w:val="20"/>
                          <w14:textFill>
                            <w14:solidFill>
                              <w14:schemeClr w14:val="tx1"/>
                            </w14:solidFill>
                          </w14:textFill>
                        </w:rPr>
                      </m:ctrlPr>
                    </m:sSupPr>
                    <m:e>
                      <m:d>
                        <m:dPr>
                          <m:begChr m:val="‖"/>
                          <m:endChr m:val="‖"/>
                          <m:ctrlPr>
                            <w:rPr>
                              <w:rFonts w:ascii="Cambria Math" w:hAnsi="Cambria Math" w:eastAsia="宋体"/>
                              <w:color w:val="000000" w:themeColor="text1"/>
                              <w:szCs w:val="20"/>
                              <w14:textFill>
                                <w14:solidFill>
                                  <w14:schemeClr w14:val="tx1"/>
                                </w14:solidFill>
                              </w14:textFill>
                            </w:rPr>
                          </m:ctrlPr>
                        </m:dPr>
                        <m:e>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H</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Genie</m:t>
                              </m:r>
                              <m:ctrlPr>
                                <w:rPr>
                                  <w:rFonts w:ascii="Cambria Math" w:hAnsi="Cambria Math" w:eastAsia="宋体"/>
                                  <w:color w:val="000000" w:themeColor="text1"/>
                                  <w:szCs w:val="20"/>
                                  <w14:textFill>
                                    <w14:solidFill>
                                      <w14:schemeClr w14:val="tx1"/>
                                    </w14:solidFill>
                                  </w14:textFill>
                                </w:rPr>
                              </m:ctrlPr>
                            </m:sub>
                          </m:sSub>
                          <m:r>
                            <m:rPr>
                              <m:sty m:val="p"/>
                            </m:rPr>
                            <w:rPr>
                              <w:rFonts w:ascii="Cambria Math" w:hAnsi="Cambria Math" w:eastAsia="宋体"/>
                              <w:color w:val="000000" w:themeColor="text1"/>
                              <w:szCs w:val="20"/>
                              <w14:textFill>
                                <w14:solidFill>
                                  <w14:schemeClr w14:val="tx1"/>
                                </w14:solidFill>
                              </w14:textFill>
                            </w:rPr>
                            <m:t>⋅v</m:t>
                          </m:r>
                          <m:ctrlPr>
                            <w:rPr>
                              <w:rFonts w:ascii="Cambria Math" w:hAnsi="Cambria Math" w:eastAsia="宋体"/>
                              <w:color w:val="000000" w:themeColor="text1"/>
                              <w:szCs w:val="20"/>
                              <w14:textFill>
                                <w14:solidFill>
                                  <w14:schemeClr w14:val="tx1"/>
                                </w14:solidFill>
                              </w14:textFill>
                            </w:rPr>
                          </m:ctrlPr>
                        </m:e>
                      </m:d>
                      <m:ctrlPr>
                        <w:rPr>
                          <w:rFonts w:ascii="Cambria Math" w:hAnsi="Cambria Math" w:eastAsia="宋体"/>
                          <w:color w:val="000000" w:themeColor="text1"/>
                          <w:szCs w:val="20"/>
                          <w14:textFill>
                            <w14:solidFill>
                              <w14:schemeClr w14:val="tx1"/>
                            </w14:solidFill>
                          </w14:textFill>
                        </w:rPr>
                      </m:ctrlPr>
                    </m:e>
                    <m:sup>
                      <m:r>
                        <m:rPr>
                          <m:sty m:val="p"/>
                        </m:rPr>
                        <w:rPr>
                          <w:rFonts w:ascii="Cambria Math" w:hAnsi="Cambria Math" w:eastAsia="宋体"/>
                          <w:color w:val="000000" w:themeColor="text1"/>
                          <w:szCs w:val="20"/>
                          <w14:textFill>
                            <w14:solidFill>
                              <w14:schemeClr w14:val="tx1"/>
                            </w14:solidFill>
                          </w14:textFill>
                        </w:rPr>
                        <m:t>2</m:t>
                      </m:r>
                      <m:ctrlPr>
                        <w:rPr>
                          <w:rFonts w:ascii="Cambria Math" w:hAnsi="Cambria Math" w:eastAsia="宋体"/>
                          <w:color w:val="000000" w:themeColor="text1"/>
                          <w:szCs w:val="20"/>
                          <w14:textFill>
                            <w14:solidFill>
                              <w14:schemeClr w14:val="tx1"/>
                            </w14:solidFill>
                          </w14:textFill>
                        </w:rPr>
                      </m:ctrlPr>
                    </m:sup>
                  </m:sSup>
                  <m:ctrlPr>
                    <w:rPr>
                      <w:rFonts w:ascii="Cambria Math" w:hAnsi="Cambria Math" w:eastAsia="宋体"/>
                      <w:color w:val="000000" w:themeColor="text1"/>
                      <w:szCs w:val="20"/>
                      <w14:textFill>
                        <w14:solidFill>
                          <w14:schemeClr w14:val="tx1"/>
                        </w14:solidFill>
                      </w14:textFill>
                    </w:rPr>
                  </m:ctrlPr>
                </m:num>
                <m:den>
                  <m:sSup>
                    <m:sSupPr>
                      <m:ctrlPr>
                        <w:rPr>
                          <w:rFonts w:ascii="Cambria Math" w:hAnsi="Cambria Math" w:eastAsia="宋体"/>
                          <w:color w:val="000000" w:themeColor="text1"/>
                          <w:szCs w:val="20"/>
                          <w14:textFill>
                            <w14:solidFill>
                              <w14:schemeClr w14:val="tx1"/>
                            </w14:solidFill>
                          </w14:textFill>
                        </w:rPr>
                      </m:ctrlPr>
                    </m:sSupPr>
                    <m:e>
                      <m:sSub>
                        <m:sSubPr>
                          <m:ctrlPr>
                            <w:rPr>
                              <w:rFonts w:ascii="Cambria Math" w:hAnsi="Cambria Math" w:eastAsia="宋体"/>
                              <w:color w:val="000000" w:themeColor="text1"/>
                              <w:szCs w:val="20"/>
                              <w14:textFill>
                                <w14:solidFill>
                                  <w14:schemeClr w14:val="tx1"/>
                                </w14:solidFill>
                              </w14:textFill>
                            </w:rPr>
                          </m:ctrlPr>
                        </m:sSubPr>
                        <m:e>
                          <m:d>
                            <m:dPr>
                              <m:begChr m:val="‖"/>
                              <m:endChr m:val="‖"/>
                              <m:ctrlPr>
                                <w:rPr>
                                  <w:rFonts w:ascii="Cambria Math" w:hAnsi="Cambria Math" w:eastAsia="宋体"/>
                                  <w:color w:val="000000" w:themeColor="text1"/>
                                  <w:szCs w:val="20"/>
                                  <w14:textFill>
                                    <w14:solidFill>
                                      <w14:schemeClr w14:val="tx1"/>
                                    </w14:solidFill>
                                  </w14:textFill>
                                </w:rPr>
                              </m:ctrlPr>
                            </m:dPr>
                            <m:e>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H</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Genie</m:t>
                                  </m:r>
                                  <m:ctrlPr>
                                    <w:rPr>
                                      <w:rFonts w:ascii="Cambria Math" w:hAnsi="Cambria Math" w:eastAsia="宋体"/>
                                      <w:color w:val="000000" w:themeColor="text1"/>
                                      <w:szCs w:val="20"/>
                                      <w14:textFill>
                                        <w14:solidFill>
                                          <w14:schemeClr w14:val="tx1"/>
                                        </w14:solidFill>
                                      </w14:textFill>
                                    </w:rPr>
                                  </m:ctrlPr>
                                </m:sub>
                              </m:sSub>
                              <m:ctrlPr>
                                <w:rPr>
                                  <w:rFonts w:ascii="Cambria Math" w:hAnsi="Cambria Math" w:eastAsia="宋体"/>
                                  <w:color w:val="000000" w:themeColor="text1"/>
                                  <w:szCs w:val="20"/>
                                  <w14:textFill>
                                    <w14:solidFill>
                                      <w14:schemeClr w14:val="tx1"/>
                                    </w14:solidFill>
                                  </w14:textFill>
                                </w:rPr>
                              </m:ctrlPr>
                            </m:e>
                          </m:d>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F</m:t>
                          </m:r>
                          <m:ctrlPr>
                            <w:rPr>
                              <w:rFonts w:ascii="Cambria Math" w:hAnsi="Cambria Math" w:eastAsia="宋体"/>
                              <w:color w:val="000000" w:themeColor="text1"/>
                              <w:szCs w:val="20"/>
                              <w14:textFill>
                                <w14:solidFill>
                                  <w14:schemeClr w14:val="tx1"/>
                                </w14:solidFill>
                              </w14:textFill>
                            </w:rPr>
                          </m:ctrlPr>
                        </m:sub>
                      </m:sSub>
                      <m:ctrlPr>
                        <w:rPr>
                          <w:rFonts w:ascii="Cambria Math" w:hAnsi="Cambria Math" w:eastAsia="宋体"/>
                          <w:color w:val="000000" w:themeColor="text1"/>
                          <w:szCs w:val="20"/>
                          <w14:textFill>
                            <w14:solidFill>
                              <w14:schemeClr w14:val="tx1"/>
                            </w14:solidFill>
                          </w14:textFill>
                        </w:rPr>
                      </m:ctrlPr>
                    </m:e>
                    <m:sup>
                      <m:r>
                        <m:rPr>
                          <m:sty m:val="p"/>
                        </m:rPr>
                        <w:rPr>
                          <w:rFonts w:ascii="Cambria Math" w:hAnsi="Cambria Math" w:eastAsia="宋体"/>
                          <w:color w:val="000000" w:themeColor="text1"/>
                          <w:szCs w:val="20"/>
                          <w14:textFill>
                            <w14:solidFill>
                              <w14:schemeClr w14:val="tx1"/>
                            </w14:solidFill>
                          </w14:textFill>
                        </w:rPr>
                        <m:t>2</m:t>
                      </m:r>
                      <m:ctrlPr>
                        <w:rPr>
                          <w:rFonts w:ascii="Cambria Math" w:hAnsi="Cambria Math" w:eastAsia="宋体"/>
                          <w:color w:val="000000" w:themeColor="text1"/>
                          <w:szCs w:val="20"/>
                          <w14:textFill>
                            <w14:solidFill>
                              <w14:schemeClr w14:val="tx1"/>
                            </w14:solidFill>
                          </w14:textFill>
                        </w:rPr>
                      </m:ctrlPr>
                    </m:sup>
                  </m:sSup>
                  <m:ctrlPr>
                    <w:rPr>
                      <w:rFonts w:ascii="Cambria Math" w:hAnsi="Cambria Math" w:eastAsia="宋体"/>
                      <w:color w:val="000000" w:themeColor="text1"/>
                      <w:szCs w:val="20"/>
                      <w14:textFill>
                        <w14:solidFill>
                          <w14:schemeClr w14:val="tx1"/>
                        </w14:solidFill>
                      </w14:textFill>
                    </w:rPr>
                  </m:ctrlPr>
                </m:den>
              </m:f>
            </m:oMath>
            <w:r>
              <w:rPr>
                <w:rFonts w:eastAsia="宋体"/>
                <w:color w:val="000000" w:themeColor="text1"/>
                <w:szCs w:val="20"/>
                <w:lang w:val="en-GB"/>
                <w14:textFill>
                  <w14:solidFill>
                    <w14:schemeClr w14:val="tx1"/>
                  </w14:solidFill>
                </w14:textFill>
              </w:rPr>
              <w:t>.</w:t>
            </w:r>
          </w:p>
          <w:p>
            <w:pPr>
              <w:numPr>
                <w:ilvl w:val="0"/>
                <w:numId w:val="38"/>
              </w:numPr>
              <w:suppressAutoHyphens/>
              <w:snapToGrid w:val="0"/>
              <w:spacing w:before="72" w:beforeLines="30" w:after="72" w:afterLines="30" w:line="288" w:lineRule="auto"/>
              <w:contextualSpacing/>
              <w:jc w:val="both"/>
              <w:rPr>
                <w:rFonts w:eastAsia="宋体"/>
                <w:color w:val="000000" w:themeColor="text1"/>
                <w:szCs w:val="20"/>
                <w:lang w:val="en-GB"/>
                <w14:textFill>
                  <w14:solidFill>
                    <w14:schemeClr w14:val="tx1"/>
                  </w14:solidFill>
                </w14:textFill>
              </w:rPr>
            </w:pPr>
            <w:r>
              <w:rPr>
                <w:rFonts w:eastAsia="宋体"/>
                <w:color w:val="000000" w:themeColor="text1"/>
                <w:szCs w:val="20"/>
                <w:lang w:val="en-GB"/>
                <w14:textFill>
                  <w14:solidFill>
                    <w14:schemeClr w14:val="tx1"/>
                  </w14:solidFill>
                </w14:textFill>
              </w:rPr>
              <w:t xml:space="preserve">Companies should report the temporal domain relationship between </w:t>
            </w:r>
            <m:oMath>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H</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Genie</m:t>
                  </m:r>
                  <m:ctrlPr>
                    <w:rPr>
                      <w:rFonts w:ascii="Cambria Math" w:hAnsi="Cambria Math" w:eastAsia="宋体"/>
                      <w:color w:val="000000" w:themeColor="text1"/>
                      <w:szCs w:val="20"/>
                      <w14:textFill>
                        <w14:solidFill>
                          <w14:schemeClr w14:val="tx1"/>
                        </w14:solidFill>
                      </w14:textFill>
                    </w:rPr>
                  </m:ctrlPr>
                </m:sub>
              </m:sSub>
            </m:oMath>
            <w:r>
              <w:rPr>
                <w:rFonts w:eastAsia="宋体"/>
                <w:color w:val="000000" w:themeColor="text1"/>
                <w:szCs w:val="20"/>
                <w:lang w:val="en-GB"/>
                <w14:textFill>
                  <w14:solidFill>
                    <w14:schemeClr w14:val="tx1"/>
                  </w14:solidFill>
                </w14:textFill>
              </w:rPr>
              <w:t xml:space="preserve"> and </w:t>
            </w:r>
            <m:oMath>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H</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Actual</m:t>
                  </m:r>
                  <m:ctrlPr>
                    <w:rPr>
                      <w:rFonts w:ascii="Cambria Math" w:hAnsi="Cambria Math" w:eastAsia="宋体"/>
                      <w:color w:val="000000" w:themeColor="text1"/>
                      <w:szCs w:val="20"/>
                      <w14:textFill>
                        <w14:solidFill>
                          <w14:schemeClr w14:val="tx1"/>
                        </w14:solidFill>
                      </w14:textFill>
                    </w:rPr>
                  </m:ctrlPr>
                </m:sub>
              </m:sSub>
            </m:oMath>
            <w:r>
              <w:rPr>
                <w:rFonts w:eastAsia="宋体"/>
                <w:color w:val="000000" w:themeColor="text1"/>
                <w:szCs w:val="20"/>
                <w:lang w:val="en-GB"/>
                <w14:textFill>
                  <w14:solidFill>
                    <w14:schemeClr w14:val="tx1"/>
                  </w14:solidFill>
                </w14:textFill>
              </w:rPr>
              <w:t>, e.g., doppler, and the gap in terms of milliseconds.</w:t>
            </w:r>
          </w:p>
          <w:p>
            <w:pPr>
              <w:numPr>
                <w:ilvl w:val="0"/>
                <w:numId w:val="38"/>
              </w:numPr>
              <w:suppressAutoHyphens/>
              <w:snapToGrid w:val="0"/>
              <w:spacing w:before="72" w:beforeLines="30" w:after="72" w:afterLines="30" w:line="288" w:lineRule="auto"/>
              <w:contextualSpacing/>
              <w:jc w:val="both"/>
              <w:rPr>
                <w:rFonts w:eastAsia="宋体"/>
                <w:color w:val="000000" w:themeColor="text1"/>
                <w:szCs w:val="20"/>
                <w:lang w:val="en-GB"/>
                <w14:textFill>
                  <w14:solidFill>
                    <w14:schemeClr w14:val="tx1"/>
                  </w14:solidFill>
                </w14:textFill>
              </w:rPr>
            </w:pPr>
            <w:r>
              <w:rPr>
                <w:rFonts w:eastAsia="宋体"/>
                <w:color w:val="000000" w:themeColor="text1"/>
                <w:szCs w:val="20"/>
                <w:lang w:val="en-GB"/>
                <w14:textFill>
                  <w14:solidFill>
                    <w14:schemeClr w14:val="tx1"/>
                  </w14:solidFill>
                </w14:textFill>
              </w:rPr>
              <w:t>Other KPIs are not precluded.</w:t>
            </w:r>
          </w:p>
          <w:p>
            <w:pPr>
              <w:numPr>
                <w:ilvl w:val="0"/>
                <w:numId w:val="38"/>
              </w:numPr>
              <w:suppressAutoHyphens/>
              <w:snapToGrid w:val="0"/>
              <w:spacing w:before="72" w:beforeLines="30" w:after="72" w:afterLines="30" w:line="288" w:lineRule="auto"/>
              <w:contextualSpacing/>
              <w:jc w:val="both"/>
              <w:rPr>
                <w:color w:val="000000" w:themeColor="text1"/>
                <w:szCs w:val="20"/>
                <w14:textFill>
                  <w14:solidFill>
                    <w14:schemeClr w14:val="tx1"/>
                  </w14:solidFill>
                </w14:textFill>
              </w:rPr>
            </w:pPr>
            <w:r>
              <w:rPr>
                <w:rFonts w:eastAsia="宋体"/>
                <w:color w:val="000000" w:themeColor="text1"/>
                <w:szCs w:val="20"/>
                <w:lang w:val="en-GB"/>
                <w14:textFill>
                  <w14:solidFill>
                    <w14:schemeClr w14:val="tx1"/>
                  </w14:solidFill>
                </w14:textFill>
              </w:rPr>
              <w:t xml:space="preserve">Note: </w:t>
            </w:r>
            <m:oMath>
              <m:r>
                <m:rPr>
                  <m:sty m:val="p"/>
                </m:rPr>
                <w:rPr>
                  <w:rFonts w:ascii="Cambria Math" w:hAnsi="Cambria Math" w:eastAsia="宋体"/>
                  <w:color w:val="000000" w:themeColor="text1"/>
                  <w:szCs w:val="20"/>
                  <w14:textFill>
                    <w14:solidFill>
                      <w14:schemeClr w14:val="tx1"/>
                    </w14:solidFill>
                  </w14:textFill>
                </w:rPr>
                <m:t>KP</m:t>
              </m:r>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I</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Genie</m:t>
                  </m:r>
                  <m:ctrlPr>
                    <w:rPr>
                      <w:rFonts w:ascii="Cambria Math" w:hAnsi="Cambria Math" w:eastAsia="宋体"/>
                      <w:color w:val="000000" w:themeColor="text1"/>
                      <w:szCs w:val="20"/>
                      <w14:textFill>
                        <w14:solidFill>
                          <w14:schemeClr w14:val="tx1"/>
                        </w14:solidFill>
                      </w14:textFill>
                    </w:rPr>
                  </m:ctrlPr>
                </m:sub>
              </m:sSub>
            </m:oMath>
            <w:r>
              <w:rPr>
                <w:rFonts w:eastAsia="宋体"/>
                <w:color w:val="000000" w:themeColor="text1"/>
                <w:szCs w:val="20"/>
                <w:lang w:val="en-GB"/>
                <w14:textFill>
                  <w14:solidFill>
                    <w14:schemeClr w14:val="tx1"/>
                  </w14:solidFill>
                </w14:textFill>
              </w:rPr>
              <w:t xml:space="preserve"> is unknown in reality and is only for KPI accuracy evaluation purpose. The actual monitoring decision should be made without relying on </w:t>
            </w:r>
            <m:oMath>
              <m:r>
                <m:rPr>
                  <m:sty m:val="p"/>
                </m:rPr>
                <w:rPr>
                  <w:rFonts w:ascii="Cambria Math" w:hAnsi="Cambria Math" w:eastAsia="宋体"/>
                  <w:color w:val="000000" w:themeColor="text1"/>
                  <w:szCs w:val="20"/>
                  <w14:textFill>
                    <w14:solidFill>
                      <w14:schemeClr w14:val="tx1"/>
                    </w14:solidFill>
                  </w14:textFill>
                </w:rPr>
                <m:t>KP</m:t>
              </m:r>
              <m:sSub>
                <m:sSubPr>
                  <m:ctrlPr>
                    <w:rPr>
                      <w:rFonts w:ascii="Cambria Math" w:hAnsi="Cambria Math" w:eastAsia="宋体"/>
                      <w:color w:val="000000" w:themeColor="text1"/>
                      <w:szCs w:val="20"/>
                      <w14:textFill>
                        <w14:solidFill>
                          <w14:schemeClr w14:val="tx1"/>
                        </w14:solidFill>
                      </w14:textFill>
                    </w:rPr>
                  </m:ctrlPr>
                </m:sSubPr>
                <m:e>
                  <m:r>
                    <m:rPr>
                      <m:sty m:val="p"/>
                    </m:rPr>
                    <w:rPr>
                      <w:rFonts w:ascii="Cambria Math" w:hAnsi="Cambria Math" w:eastAsia="宋体"/>
                      <w:color w:val="000000" w:themeColor="text1"/>
                      <w:szCs w:val="20"/>
                      <w14:textFill>
                        <w14:solidFill>
                          <w14:schemeClr w14:val="tx1"/>
                        </w14:solidFill>
                      </w14:textFill>
                    </w:rPr>
                    <m:t>I</m:t>
                  </m:r>
                  <m:ctrlPr>
                    <w:rPr>
                      <w:rFonts w:ascii="Cambria Math" w:hAnsi="Cambria Math" w:eastAsia="宋体"/>
                      <w:color w:val="000000" w:themeColor="text1"/>
                      <w:szCs w:val="20"/>
                      <w14:textFill>
                        <w14:solidFill>
                          <w14:schemeClr w14:val="tx1"/>
                        </w14:solidFill>
                      </w14:textFill>
                    </w:rPr>
                  </m:ctrlPr>
                </m:e>
                <m:sub>
                  <m:r>
                    <m:rPr>
                      <m:sty m:val="p"/>
                    </m:rPr>
                    <w:rPr>
                      <w:rFonts w:ascii="Cambria Math" w:hAnsi="Cambria Math" w:eastAsia="宋体"/>
                      <w:color w:val="000000" w:themeColor="text1"/>
                      <w:szCs w:val="20"/>
                      <w14:textFill>
                        <w14:solidFill>
                          <w14:schemeClr w14:val="tx1"/>
                        </w14:solidFill>
                      </w14:textFill>
                    </w:rPr>
                    <m:t>Genie</m:t>
                  </m:r>
                  <m:ctrlPr>
                    <w:rPr>
                      <w:rFonts w:ascii="Cambria Math" w:hAnsi="Cambria Math" w:eastAsia="宋体"/>
                      <w:color w:val="000000" w:themeColor="text1"/>
                      <w:szCs w:val="20"/>
                      <w14:textFill>
                        <w14:solidFill>
                          <w14:schemeClr w14:val="tx1"/>
                        </w14:solidFill>
                      </w14:textFill>
                    </w:rPr>
                  </m:ctrlPr>
                </m:sub>
              </m:sSub>
            </m:oMath>
            <w:r>
              <w:rPr>
                <w:rFonts w:eastAsia="宋体"/>
                <w:color w:val="000000" w:themeColor="text1"/>
                <w:szCs w:val="20"/>
                <w:lang w:val="en-GB"/>
                <w14:textFill>
                  <w14:solidFill>
                    <w14:schemeClr w14:val="tx1"/>
                  </w14:solidFill>
                </w14:textFill>
              </w:rPr>
              <w:t>.</w:t>
            </w:r>
          </w:p>
        </w:tc>
      </w:tr>
    </w:tbl>
    <w:p>
      <w:p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 xml:space="preserve">For UE-side performance monitoring, </w:t>
      </w:r>
      <w:r>
        <w:rPr>
          <w:rFonts w:hint="eastAsia" w:eastAsiaTheme="minorEastAsia"/>
          <w:color w:val="000000" w:themeColor="text1"/>
          <w:szCs w:val="20"/>
          <w14:textFill>
            <w14:solidFill>
              <w14:schemeClr w14:val="tx1"/>
            </w14:solidFill>
          </w14:textFill>
        </w:rPr>
        <w:t xml:space="preserve">four </w:t>
      </w:r>
      <w:r>
        <w:rPr>
          <w:rFonts w:eastAsiaTheme="minorEastAsia"/>
          <w:color w:val="000000" w:themeColor="text1"/>
          <w:szCs w:val="20"/>
          <w14:textFill>
            <w14:solidFill>
              <w14:schemeClr w14:val="tx1"/>
            </w14:solidFill>
          </w14:textFill>
        </w:rPr>
        <w:t>alternatives were proposed by companies in Rel-18 as below:</w:t>
      </w:r>
    </w:p>
    <w:p>
      <w:pPr>
        <w:pStyle w:val="113"/>
        <w:numPr>
          <w:ilvl w:val="0"/>
          <w:numId w:val="37"/>
        </w:numPr>
        <w:snapToGrid w:val="0"/>
        <w:spacing w:before="72" w:beforeLines="30" w:after="72" w:afterLines="30" w:line="288" w:lineRule="auto"/>
        <w:ind w:firstLineChars="0"/>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Alt 1: UE-side monitoring based on the actual CSI reconstruction model at NW side</w:t>
      </w:r>
    </w:p>
    <w:p>
      <w:pPr>
        <w:pStyle w:val="113"/>
        <w:numPr>
          <w:ilvl w:val="0"/>
          <w:numId w:val="37"/>
        </w:numPr>
        <w:snapToGrid w:val="0"/>
        <w:spacing w:before="72" w:beforeLines="30" w:after="72" w:afterLines="30" w:line="288" w:lineRule="auto"/>
        <w:ind w:firstLineChars="0"/>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Alt 2:</w:t>
      </w:r>
      <w:r>
        <w:rPr>
          <w:color w:val="000000" w:themeColor="text1"/>
          <w:szCs w:val="20"/>
          <w14:textFill>
            <w14:solidFill>
              <w14:schemeClr w14:val="tx1"/>
            </w14:solidFill>
          </w14:textFill>
        </w:rPr>
        <w:t xml:space="preserve"> UE-side monitoring based on the output CSI transmitted from NW side to UE side</w:t>
      </w:r>
    </w:p>
    <w:p>
      <w:pPr>
        <w:pStyle w:val="113"/>
        <w:numPr>
          <w:ilvl w:val="0"/>
          <w:numId w:val="37"/>
        </w:numPr>
        <w:snapToGrid w:val="0"/>
        <w:spacing w:before="72" w:beforeLines="30" w:after="72" w:afterLines="30" w:line="288" w:lineRule="auto"/>
        <w:ind w:firstLineChars="0"/>
        <w:rPr>
          <w:rFonts w:eastAsiaTheme="minorEastAsia"/>
          <w:color w:val="000000" w:themeColor="text1"/>
          <w:szCs w:val="20"/>
          <w14:textFill>
            <w14:solidFill>
              <w14:schemeClr w14:val="tx1"/>
            </w14:solidFill>
          </w14:textFill>
        </w:rPr>
      </w:pPr>
      <w:r>
        <w:rPr>
          <w:rFonts w:hint="eastAsia" w:eastAsiaTheme="minorEastAsia"/>
          <w:color w:val="000000" w:themeColor="text1"/>
          <w:szCs w:val="20"/>
          <w14:textFill>
            <w14:solidFill>
              <w14:schemeClr w14:val="tx1"/>
            </w14:solidFill>
          </w14:textFill>
        </w:rPr>
        <w:t>A</w:t>
      </w:r>
      <w:r>
        <w:rPr>
          <w:rFonts w:eastAsiaTheme="minorEastAsia"/>
          <w:color w:val="000000" w:themeColor="text1"/>
          <w:szCs w:val="20"/>
          <w14:textFill>
            <w14:solidFill>
              <w14:schemeClr w14:val="tx1"/>
            </w14:solidFill>
          </w14:textFill>
        </w:rPr>
        <w:t xml:space="preserve">lt 3: </w:t>
      </w:r>
      <w:r>
        <w:rPr>
          <w:color w:val="000000" w:themeColor="text1"/>
          <w:szCs w:val="20"/>
          <w14:textFill>
            <w14:solidFill>
              <w14:schemeClr w14:val="tx1"/>
            </w14:solidFill>
          </w14:textFill>
        </w:rPr>
        <w:t>UE-side monitoring</w:t>
      </w:r>
      <w:r>
        <w:rPr>
          <w:rFonts w:eastAsiaTheme="minorEastAsia"/>
          <w:color w:val="000000" w:themeColor="text1"/>
          <w:szCs w:val="20"/>
          <w14:textFill>
            <w14:solidFill>
              <w14:schemeClr w14:val="tx1"/>
            </w14:solidFill>
          </w14:textFill>
        </w:rPr>
        <w:t xml:space="preserve"> </w:t>
      </w:r>
      <w:r>
        <w:rPr>
          <w:rFonts w:hint="eastAsia" w:eastAsiaTheme="minorEastAsia"/>
          <w:color w:val="000000" w:themeColor="text1"/>
          <w:szCs w:val="20"/>
          <w14:textFill>
            <w14:solidFill>
              <w14:schemeClr w14:val="tx1"/>
            </w14:solidFill>
          </w14:textFill>
        </w:rPr>
        <w:t>b</w:t>
      </w:r>
      <w:r>
        <w:rPr>
          <w:rFonts w:eastAsiaTheme="minorEastAsia"/>
          <w:color w:val="000000" w:themeColor="text1"/>
          <w:szCs w:val="20"/>
          <w14:textFill>
            <w14:solidFill>
              <w14:schemeClr w14:val="tx1"/>
            </w14:solidFill>
          </w14:textFill>
        </w:rPr>
        <w:t xml:space="preserve">ased on precoded RS transmitted from NW based on the output of the CSI reconstruction model </w:t>
      </w:r>
    </w:p>
    <w:p>
      <w:pPr>
        <w:pStyle w:val="113"/>
        <w:numPr>
          <w:ilvl w:val="0"/>
          <w:numId w:val="37"/>
        </w:numPr>
        <w:snapToGrid w:val="0"/>
        <w:spacing w:before="72" w:beforeLines="30" w:after="72" w:afterLines="30" w:line="288" w:lineRule="auto"/>
        <w:ind w:firstLineChars="0"/>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Alt 4: UE-side monitoring based on the UE-side proxy model</w:t>
      </w:r>
    </w:p>
    <w:p>
      <w:p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We further analyze and summarize the pros and cons of these approaches in the following Table.</w:t>
      </w:r>
    </w:p>
    <w:p>
      <w:pPr>
        <w:snapToGrid w:val="0"/>
        <w:spacing w:before="72" w:beforeLines="30" w:after="72" w:afterLines="30" w:line="288" w:lineRule="auto"/>
        <w:jc w:val="center"/>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Table</w:t>
      </w:r>
      <w:r>
        <w:rPr>
          <w:rFonts w:hint="eastAsia" w:eastAsiaTheme="minorEastAsia"/>
          <w:color w:val="000000" w:themeColor="text1"/>
          <w:szCs w:val="20"/>
          <w14:textFill>
            <w14:solidFill>
              <w14:schemeClr w14:val="tx1"/>
            </w14:solidFill>
          </w14:textFill>
        </w:rPr>
        <w:t>.</w:t>
      </w:r>
      <w:r>
        <w:rPr>
          <w:rFonts w:eastAsiaTheme="minorEastAsia"/>
          <w:color w:val="000000" w:themeColor="text1"/>
          <w:szCs w:val="20"/>
          <w14:textFill>
            <w14:solidFill>
              <w14:schemeClr w14:val="tx1"/>
            </w14:solidFill>
          </w14:textFill>
        </w:rPr>
        <w:t xml:space="preserve"> The analysis on UE-side performance monitoring approaches</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0"/>
        <w:gridCol w:w="6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center"/>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UE-side monitoring alternatives</w:t>
            </w:r>
          </w:p>
        </w:tc>
        <w:tc>
          <w:tcPr>
            <w:tcW w:w="6520" w:type="dxa"/>
          </w:tcPr>
          <w:p>
            <w:pPr>
              <w:snapToGrid w:val="0"/>
              <w:spacing w:before="72" w:beforeLines="30" w:after="72" w:afterLines="30" w:line="288" w:lineRule="auto"/>
              <w:jc w:val="center"/>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Alt 1: UE-side monitoring based on the actual CSI reconstruction model at NW side</w:t>
            </w:r>
          </w:p>
        </w:tc>
        <w:tc>
          <w:tcPr>
            <w:tcW w:w="6520" w:type="dxa"/>
          </w:tcPr>
          <w:p>
            <w:pPr>
              <w:numPr>
                <w:ilvl w:val="0"/>
                <w:numId w:val="39"/>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Accurate intermediate KPI can be calculated</w:t>
            </w:r>
          </w:p>
          <w:p>
            <w:pPr>
              <w:numPr>
                <w:ilvl w:val="0"/>
                <w:numId w:val="39"/>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Huge burden on the overhead of CSI reconstruction model delivery over the air</w:t>
            </w:r>
          </w:p>
          <w:p>
            <w:pPr>
              <w:numPr>
                <w:ilvl w:val="0"/>
                <w:numId w:val="39"/>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NW-side model proprietary information may be disclosed to UE</w:t>
            </w:r>
          </w:p>
          <w:p>
            <w:pPr>
              <w:numPr>
                <w:ilvl w:val="0"/>
                <w:numId w:val="39"/>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UE device may not be able to perform monitoring due to the limited computational/storage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 xml:space="preserve">Alt 2: </w:t>
            </w:r>
            <w:r>
              <w:rPr>
                <w:color w:val="000000" w:themeColor="text1"/>
                <w:szCs w:val="20"/>
                <w14:textFill>
                  <w14:solidFill>
                    <w14:schemeClr w14:val="tx1"/>
                  </w14:solidFill>
                </w14:textFill>
              </w:rPr>
              <w:t>UE-side monitoring based on the output CSI transmitted from NW side to UE side</w:t>
            </w:r>
          </w:p>
        </w:tc>
        <w:tc>
          <w:tcPr>
            <w:tcW w:w="6520" w:type="dxa"/>
          </w:tcPr>
          <w:p>
            <w:pPr>
              <w:numPr>
                <w:ilvl w:val="0"/>
                <w:numId w:val="40"/>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Less transmission overhead compared with Alt 1</w:t>
            </w:r>
          </w:p>
          <w:p>
            <w:pPr>
              <w:numPr>
                <w:ilvl w:val="0"/>
                <w:numId w:val="40"/>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Additional latency is needed for output CSI transmission.</w:t>
            </w:r>
          </w:p>
          <w:p>
            <w:pPr>
              <w:numPr>
                <w:ilvl w:val="0"/>
                <w:numId w:val="40"/>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Quantization loss would be introduced to output CSI due to the quantization type, e.g., codebook-based quantization.</w:t>
            </w:r>
          </w:p>
          <w:p>
            <w:pPr>
              <w:numPr>
                <w:ilvl w:val="0"/>
                <w:numId w:val="40"/>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hint="eastAsia" w:eastAsiaTheme="minorEastAsia"/>
                <w:color w:val="000000" w:themeColor="text1"/>
                <w:szCs w:val="20"/>
                <w14:textFill>
                  <w14:solidFill>
                    <w14:schemeClr w14:val="tx1"/>
                  </w14:solidFill>
                </w14:textFill>
              </w:rPr>
              <w:t>A</w:t>
            </w:r>
            <w:r>
              <w:rPr>
                <w:rFonts w:eastAsiaTheme="minorEastAsia"/>
                <w:color w:val="000000" w:themeColor="text1"/>
                <w:szCs w:val="20"/>
                <w14:textFill>
                  <w14:solidFill>
                    <w14:schemeClr w14:val="tx1"/>
                  </w14:solidFill>
                </w14:textFill>
              </w:rPr>
              <w:t xml:space="preserve">lt 3: </w:t>
            </w:r>
            <w:r>
              <w:rPr>
                <w:color w:val="000000" w:themeColor="text1"/>
                <w:szCs w:val="20"/>
                <w14:textFill>
                  <w14:solidFill>
                    <w14:schemeClr w14:val="tx1"/>
                  </w14:solidFill>
                </w14:textFill>
              </w:rPr>
              <w:t>UE-side monitoring</w:t>
            </w:r>
            <w:r>
              <w:rPr>
                <w:rFonts w:eastAsiaTheme="minorEastAsia"/>
                <w:color w:val="000000" w:themeColor="text1"/>
                <w:szCs w:val="20"/>
                <w14:textFill>
                  <w14:solidFill>
                    <w14:schemeClr w14:val="tx1"/>
                  </w14:solidFill>
                </w14:textFill>
              </w:rPr>
              <w:t xml:space="preserve"> </w:t>
            </w:r>
            <w:r>
              <w:rPr>
                <w:rFonts w:hint="eastAsia" w:eastAsiaTheme="minorEastAsia"/>
                <w:color w:val="000000" w:themeColor="text1"/>
                <w:szCs w:val="20"/>
                <w14:textFill>
                  <w14:solidFill>
                    <w14:schemeClr w14:val="tx1"/>
                  </w14:solidFill>
                </w14:textFill>
              </w:rPr>
              <w:t>b</w:t>
            </w:r>
            <w:r>
              <w:rPr>
                <w:rFonts w:eastAsiaTheme="minorEastAsia"/>
                <w:color w:val="000000" w:themeColor="text1"/>
                <w:szCs w:val="20"/>
                <w14:textFill>
                  <w14:solidFill>
                    <w14:schemeClr w14:val="tx1"/>
                  </w14:solidFill>
                </w14:textFill>
              </w:rPr>
              <w:t xml:space="preserve">ased on precoded RS transmitted from NW based on the output of the CSI reconstruction model </w:t>
            </w:r>
          </w:p>
          <w:p>
            <w:p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p>
        </w:tc>
        <w:tc>
          <w:tcPr>
            <w:tcW w:w="6520" w:type="dxa"/>
          </w:tcPr>
          <w:p>
            <w:pPr>
              <w:numPr>
                <w:ilvl w:val="0"/>
                <w:numId w:val="40"/>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Additional latency is needed for precoded RS transmission.</w:t>
            </w:r>
          </w:p>
          <w:p>
            <w:pPr>
              <w:numPr>
                <w:ilvl w:val="0"/>
                <w:numId w:val="40"/>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Time span of monitoring process is increased, where two-step procedure is needed to finish performance monitoring.</w:t>
            </w:r>
          </w:p>
          <w:p>
            <w:pPr>
              <w:numPr>
                <w:ilvl w:val="1"/>
                <w:numId w:val="40"/>
              </w:numPr>
              <w:tabs>
                <w:tab w:val="left" w:pos="360"/>
              </w:tabs>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hint="eastAsia" w:eastAsiaTheme="minorEastAsia"/>
                <w:color w:val="000000" w:themeColor="text1"/>
                <w:szCs w:val="20"/>
                <w14:textFill>
                  <w14:solidFill>
                    <w14:schemeClr w14:val="tx1"/>
                  </w14:solidFill>
                </w14:textFill>
              </w:rPr>
              <w:t>M</w:t>
            </w:r>
            <w:r>
              <w:rPr>
                <w:rFonts w:eastAsiaTheme="minorEastAsia"/>
                <w:color w:val="000000" w:themeColor="text1"/>
                <w:szCs w:val="20"/>
                <w14:textFill>
                  <w14:solidFill>
                    <w14:schemeClr w14:val="tx1"/>
                  </w14:solidFill>
                </w14:textFill>
              </w:rPr>
              <w:t>onitoring results may not adapt to the channel variation/aging</w:t>
            </w:r>
            <w:r>
              <w:rPr>
                <w:rFonts w:hint="eastAsia" w:eastAsiaTheme="minorEastAsia"/>
                <w:color w:val="000000" w:themeColor="text1"/>
                <w:szCs w:val="20"/>
                <w14:textFill>
                  <w14:solidFill>
                    <w14:schemeClr w14:val="tx1"/>
                  </w14:solidFill>
                </w14:textFill>
              </w:rPr>
              <w:t>/channel estimation errors</w:t>
            </w:r>
          </w:p>
          <w:p>
            <w:pPr>
              <w:numPr>
                <w:ilvl w:val="0"/>
                <w:numId w:val="40"/>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Alt 4: UE-side monitoring based on the UE-side proxy model</w:t>
            </w:r>
          </w:p>
        </w:tc>
        <w:tc>
          <w:tcPr>
            <w:tcW w:w="6520" w:type="dxa"/>
          </w:tcPr>
          <w:p>
            <w:pPr>
              <w:numPr>
                <w:ilvl w:val="0"/>
                <w:numId w:val="41"/>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 xml:space="preserve">No need to transmit CSI reconstruction model or output CSI  </w:t>
            </w:r>
          </w:p>
          <w:p>
            <w:pPr>
              <w:numPr>
                <w:ilvl w:val="0"/>
                <w:numId w:val="41"/>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 xml:space="preserve">The weak learning capability of proxy model incurs worse generalization performance according to our observations </w:t>
            </w:r>
          </w:p>
          <w:p>
            <w:pPr>
              <w:numPr>
                <w:ilvl w:val="0"/>
                <w:numId w:val="41"/>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 xml:space="preserve">If the proxy model is up to UE implementation and transparent to the Network side, the monitoring performance of the UE-side proxy model is not </w:t>
            </w:r>
            <w:r>
              <w:rPr>
                <w:rFonts w:hint="eastAsia" w:eastAsiaTheme="minorEastAsia"/>
                <w:color w:val="000000" w:themeColor="text1"/>
                <w:szCs w:val="20"/>
                <w14:textFill>
                  <w14:solidFill>
                    <w14:schemeClr w14:val="tx1"/>
                  </w14:solidFill>
                </w14:textFill>
              </w:rPr>
              <w:t xml:space="preserve">convincing for the </w:t>
            </w:r>
            <w:r>
              <w:rPr>
                <w:rFonts w:eastAsiaTheme="minorEastAsia"/>
                <w:color w:val="000000" w:themeColor="text1"/>
                <w:szCs w:val="20"/>
                <w14:textFill>
                  <w14:solidFill>
                    <w14:schemeClr w14:val="tx1"/>
                  </w14:solidFill>
                </w14:textFill>
              </w:rPr>
              <w:t>NW side since no additional LCM of UE-side proxy model is operated</w:t>
            </w:r>
          </w:p>
          <w:p>
            <w:pPr>
              <w:numPr>
                <w:ilvl w:val="0"/>
                <w:numId w:val="41"/>
              </w:num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If the proxy model is not transparent to the Network side, it would impose huge burden on the network side to additionally identify/monitor/manage the UE-side proxy model.</w:t>
            </w:r>
          </w:p>
        </w:tc>
      </w:tr>
    </w:tbl>
    <w:p>
      <w:pPr>
        <w:snapToGrid w:val="0"/>
        <w:spacing w:before="72" w:beforeLines="30" w:after="72" w:afterLines="30" w:line="288" w:lineRule="auto"/>
        <w:jc w:val="both"/>
        <w:rPr>
          <w:rFonts w:eastAsiaTheme="minorEastAsia"/>
          <w:color w:val="000000" w:themeColor="text1"/>
          <w:szCs w:val="20"/>
          <w14:textFill>
            <w14:solidFill>
              <w14:schemeClr w14:val="tx1"/>
            </w14:solidFill>
          </w14:textFill>
        </w:rPr>
      </w:pPr>
      <w:r>
        <w:rPr>
          <w:rFonts w:eastAsiaTheme="minorEastAsia"/>
          <w:color w:val="000000" w:themeColor="text1"/>
          <w:szCs w:val="20"/>
          <w14:textFill>
            <w14:solidFill>
              <w14:schemeClr w14:val="tx1"/>
            </w14:solidFill>
          </w14:textFill>
        </w:rPr>
        <w:t xml:space="preserve">Based on the analysis on the </w:t>
      </w:r>
      <w:r>
        <w:rPr>
          <w:rFonts w:hint="eastAsia" w:eastAsiaTheme="minorEastAsia"/>
          <w:color w:val="000000" w:themeColor="text1"/>
          <w:szCs w:val="20"/>
          <w14:textFill>
            <w14:solidFill>
              <w14:schemeClr w14:val="tx1"/>
            </w14:solidFill>
          </w14:textFill>
        </w:rPr>
        <w:t xml:space="preserve">four </w:t>
      </w:r>
      <w:r>
        <w:rPr>
          <w:rFonts w:eastAsiaTheme="minorEastAsia"/>
          <w:color w:val="000000" w:themeColor="text1"/>
          <w:szCs w:val="20"/>
          <w14:textFill>
            <w14:solidFill>
              <w14:schemeClr w14:val="tx1"/>
            </w14:solidFill>
          </w14:textFill>
        </w:rPr>
        <w:t xml:space="preserve">alternatives, each one has some challenging problems to be addressed in actual deployment. Therefore, we propose to deprioritize the study on UE-side performance monitoring in Rel-19 study phase. </w:t>
      </w:r>
    </w:p>
    <w:p>
      <w:pPr>
        <w:pStyle w:val="147"/>
        <w:snapToGrid w:val="0"/>
        <w:spacing w:before="72" w:after="72"/>
        <w:jc w:val="both"/>
        <w:rPr>
          <w:b w:val="0"/>
          <w:color w:val="000000" w:themeColor="text1"/>
          <w:szCs w:val="20"/>
          <w:lang w:val="en-US"/>
          <w14:textFill>
            <w14:solidFill>
              <w14:schemeClr w14:val="tx1"/>
            </w14:solidFill>
          </w14:textFill>
        </w:rPr>
      </w:pPr>
      <w:bookmarkStart w:id="23" w:name="_Hlk178349686"/>
      <w:bookmarkStart w:id="24" w:name="_Hlk162705133"/>
      <w:r>
        <w:rPr>
          <w:rFonts w:hint="eastAsia"/>
          <w:b w:val="0"/>
          <w:color w:val="000000" w:themeColor="text1"/>
          <w:szCs w:val="20"/>
          <w:lang w:val="en-US"/>
          <w14:textFill>
            <w14:solidFill>
              <w14:schemeClr w14:val="tx1"/>
            </w14:solidFill>
          </w14:textFill>
        </w:rPr>
        <w:t>In CSI compression using two-sided model use case, deprioritize the study on UE-side monitoring in Rel-19 study phase.</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bookmarkEnd w:id="23"/>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Performance monitoring metrics</w:t>
      </w:r>
    </w:p>
    <w:p>
      <w:pPr>
        <w:tabs>
          <w:tab w:val="left" w:pos="990"/>
        </w:tabs>
        <w:adjustRightInd w:val="0"/>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hint="eastAsia" w:eastAsia="宋体"/>
          <w:color w:val="000000" w:themeColor="text1"/>
          <w:szCs w:val="20"/>
          <w14:textFill>
            <w14:solidFill>
              <w14:schemeClr w14:val="tx1"/>
            </w14:solidFill>
          </w14:textFill>
        </w:rPr>
        <w:t xml:space="preserve">In TR 38.843, </w:t>
      </w:r>
      <w:r>
        <w:rPr>
          <w:rFonts w:eastAsia="宋体"/>
          <w:color w:val="000000" w:themeColor="text1"/>
          <w:szCs w:val="20"/>
          <w14:textFill>
            <w14:solidFill>
              <w14:schemeClr w14:val="tx1"/>
            </w14:solidFill>
          </w14:textFill>
        </w:rPr>
        <w:t>a bias factor of monitored intermediate KPI</w:t>
      </w:r>
      <w:r>
        <w:rPr>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i.e., </w:t>
      </w:r>
      <w:r>
        <w:rPr>
          <w:color w:val="000000" w:themeColor="text1"/>
          <w14:textFill>
            <w14:solidFill>
              <w14:schemeClr w14:val="tx1"/>
            </w14:solidFill>
          </w14:textFill>
        </w:rPr>
        <w:t>KPI</w:t>
      </w:r>
      <w:r>
        <w:rPr>
          <w:i/>
          <w:iCs/>
          <w:color w:val="000000" w:themeColor="text1"/>
          <w:vertAlign w:val="subscript"/>
          <w14:textFill>
            <w14:solidFill>
              <w14:schemeClr w14:val="tx1"/>
            </w14:solidFill>
          </w14:textFill>
        </w:rPr>
        <w:t>Diff</w:t>
      </w:r>
      <w:r>
        <w:rPr>
          <w:color w:val="000000" w:themeColor="text1"/>
          <w14:textFill>
            <w14:solidFill>
              <w14:schemeClr w14:val="tx1"/>
            </w14:solidFill>
          </w14:textFill>
        </w:rPr>
        <w:t>)</w:t>
      </w:r>
      <w:r>
        <w:rPr>
          <w:rFonts w:hint="eastAsia" w:eastAsia="宋体"/>
          <w:color w:val="000000" w:themeColor="text1"/>
          <w:szCs w:val="20"/>
          <w14:textFill>
            <w14:solidFill>
              <w14:schemeClr w14:val="tx1"/>
            </w14:solidFill>
          </w14:textFill>
        </w:rPr>
        <w:t xml:space="preserve"> in introduced as follows </w:t>
      </w:r>
      <w:r>
        <w:rPr>
          <w:rFonts w:eastAsia="宋体"/>
          <w:color w:val="000000" w:themeColor="text1"/>
          <w:szCs w:val="20"/>
          <w14:textFill>
            <w14:solidFill>
              <w14:schemeClr w14:val="tx1"/>
            </w14:solidFill>
          </w14:textFill>
        </w:rPr>
        <w:t>for the evaluation and comparison purpose</w:t>
      </w:r>
      <w:r>
        <w:rPr>
          <w:rFonts w:hint="eastAsia" w:eastAsia="宋体"/>
          <w:color w:val="000000" w:themeColor="text1"/>
          <w:szCs w:val="20"/>
          <w14:textFill>
            <w14:solidFill>
              <w14:schemeClr w14:val="tx1"/>
            </w14:solidFill>
          </w14:textFill>
        </w:rPr>
        <w:t>. Additionally, new performance metrics (false alarm probability and missed detection probability) for monitoring decision performance evaluation were proposed by few companies in RAN1#119 meeting.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pStyle w:val="145"/>
              <w:snapToGrid w:val="0"/>
              <w:spacing w:before="72" w:beforeLines="30" w:after="72" w:afterLines="30" w:line="288" w:lineRule="auto"/>
              <w:ind w:left="227" w:leftChars="-28" w:hanging="283"/>
              <w:rPr>
                <w:rFonts w:eastAsia="宋体"/>
                <w:b/>
                <w:bCs/>
                <w:color w:val="000000" w:themeColor="text1"/>
                <w:lang w:val="en-US" w:eastAsia="zh-CN"/>
                <w14:textFill>
                  <w14:solidFill>
                    <w14:schemeClr w14:val="tx1"/>
                  </w14:solidFill>
                </w14:textFill>
              </w:rPr>
            </w:pPr>
            <w:r>
              <w:rPr>
                <w:rFonts w:eastAsia="宋体"/>
                <w:b/>
                <w:bCs/>
                <w:color w:val="000000" w:themeColor="text1"/>
                <w:lang w:val="en-US" w:eastAsia="zh-CN"/>
                <w14:textFill>
                  <w14:solidFill>
                    <w14:schemeClr w14:val="tx1"/>
                  </w14:solidFill>
                </w14:textFill>
              </w:rPr>
              <w:t>TR 38.843</w:t>
            </w:r>
          </w:p>
          <w:p>
            <w:pPr>
              <w:pStyle w:val="145"/>
              <w:snapToGrid w:val="0"/>
              <w:spacing w:before="72" w:beforeLines="30" w:after="72" w:afterLines="30" w:line="288" w:lineRule="auto"/>
              <w:ind w:left="227" w:leftChars="-28" w:hanging="283"/>
              <w:rPr>
                <w:color w:val="000000" w:themeColor="text1"/>
                <w:lang w:val="en-US"/>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KPI</w:t>
            </w:r>
            <w:r>
              <w:rPr>
                <w:i/>
                <w:iCs/>
                <w:color w:val="000000" w:themeColor="text1"/>
                <w:vertAlign w:val="subscript"/>
                <w14:textFill>
                  <w14:solidFill>
                    <w14:schemeClr w14:val="tx1"/>
                  </w14:solidFill>
                </w14:textFill>
              </w:rPr>
              <w:t>Diff</w:t>
            </w:r>
            <w:r>
              <w:rPr>
                <w:color w:val="000000" w:themeColor="text1"/>
                <w14:textFill>
                  <w14:solidFill>
                    <w14:schemeClr w14:val="tx1"/>
                  </w14:solidFill>
                </w14:textFill>
              </w:rPr>
              <w:t xml:space="preserve"> = </w:t>
            </w:r>
            <w:r>
              <w:rPr>
                <w:i/>
                <w:iCs/>
                <w:color w:val="000000" w:themeColor="text1"/>
                <w14:textFill>
                  <w14:solidFill>
                    <w14:schemeClr w14:val="tx1"/>
                  </w14:solidFill>
                </w14:textFill>
              </w:rPr>
              <w:t>f</w:t>
            </w:r>
            <w:r>
              <w:rPr>
                <w:color w:val="000000" w:themeColor="text1"/>
                <w14:textFill>
                  <w14:solidFill>
                    <w14:schemeClr w14:val="tx1"/>
                  </w14:solidFill>
                </w14:textFill>
              </w:rPr>
              <w:t xml:space="preserve"> ( KPI</w:t>
            </w:r>
            <w:r>
              <w:rPr>
                <w:i/>
                <w:iCs/>
                <w:color w:val="000000" w:themeColor="text1"/>
                <w:vertAlign w:val="subscript"/>
                <w14:textFill>
                  <w14:solidFill>
                    <w14:schemeClr w14:val="tx1"/>
                  </w14:solidFill>
                </w14:textFill>
              </w:rPr>
              <w:t>Actual</w:t>
            </w:r>
            <w:r>
              <w:rPr>
                <w:color w:val="000000" w:themeColor="text1"/>
                <w14:textFill>
                  <w14:solidFill>
                    <w14:schemeClr w14:val="tx1"/>
                  </w14:solidFill>
                </w14:textFill>
              </w:rPr>
              <w:t xml:space="preserve"> , KPI</w:t>
            </w:r>
            <w:r>
              <w:rPr>
                <w:i/>
                <w:iCs/>
                <w:color w:val="000000" w:themeColor="text1"/>
                <w:vertAlign w:val="subscript"/>
                <w14:textFill>
                  <w14:solidFill>
                    <w14:schemeClr w14:val="tx1"/>
                  </w14:solidFill>
                </w14:textFill>
              </w:rPr>
              <w:t>Genie</w:t>
            </w:r>
            <w:r>
              <w:rPr>
                <w:color w:val="000000" w:themeColor="text1"/>
                <w14:textFill>
                  <w14:solidFill>
                    <w14:schemeClr w14:val="tx1"/>
                  </w14:solidFill>
                </w14:textFill>
              </w:rPr>
              <w:t xml:space="preserve"> ) ca</w:t>
            </w:r>
            <w:r>
              <w:rPr>
                <w:color w:val="000000" w:themeColor="text1"/>
                <w:lang w:val="en-US"/>
                <w14:textFill>
                  <w14:solidFill>
                    <w14:schemeClr w14:val="tx1"/>
                  </w14:solidFill>
                </w14:textFill>
              </w:rPr>
              <w:t xml:space="preserve">n take the following forms: </w:t>
            </w:r>
          </w:p>
          <w:p>
            <w:pPr>
              <w:pStyle w:val="146"/>
              <w:snapToGrid w:val="0"/>
              <w:spacing w:before="72" w:beforeLines="30" w:after="72" w:afterLines="30" w:line="288" w:lineRule="auto"/>
              <w:ind w:left="509" w:leftChars="113" w:hanging="283"/>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Option 1 (baseline for calibration): Gap between KPI</w:t>
            </w:r>
            <w:r>
              <w:rPr>
                <w:i/>
                <w:iCs/>
                <w:color w:val="000000" w:themeColor="text1"/>
                <w:vertAlign w:val="subscript"/>
                <w14:textFill>
                  <w14:solidFill>
                    <w14:schemeClr w14:val="tx1"/>
                  </w14:solidFill>
                </w14:textFill>
              </w:rPr>
              <w:t>Actual</w:t>
            </w:r>
            <w:r>
              <w:rPr>
                <w:color w:val="000000" w:themeColor="text1"/>
                <w14:textFill>
                  <w14:solidFill>
                    <w14:schemeClr w14:val="tx1"/>
                  </w14:solidFill>
                </w14:textFill>
              </w:rPr>
              <w:t xml:space="preserve"> and KPI</w:t>
            </w:r>
            <w:r>
              <w:rPr>
                <w:i/>
                <w:iCs/>
                <w:color w:val="000000" w:themeColor="text1"/>
                <w:vertAlign w:val="subscript"/>
                <w14:textFill>
                  <w14:solidFill>
                    <w14:schemeClr w14:val="tx1"/>
                  </w14:solidFill>
                </w14:textFill>
              </w:rPr>
              <w:t>Genie</w:t>
            </w:r>
            <w:r>
              <w:rPr>
                <w:color w:val="000000" w:themeColor="text1"/>
                <w14:textFill>
                  <w14:solidFill>
                    <w14:schemeClr w14:val="tx1"/>
                  </w14:solidFill>
                </w14:textFill>
              </w:rPr>
              <w:t>, i.e. KPI</w:t>
            </w:r>
            <w:r>
              <w:rPr>
                <w:i/>
                <w:iCs/>
                <w:color w:val="000000" w:themeColor="text1"/>
                <w:vertAlign w:val="subscript"/>
                <w14:textFill>
                  <w14:solidFill>
                    <w14:schemeClr w14:val="tx1"/>
                  </w14:solidFill>
                </w14:textFill>
              </w:rPr>
              <w:t>Diff</w:t>
            </w:r>
            <w:r>
              <w:rPr>
                <w:color w:val="000000" w:themeColor="text1"/>
                <w14:textFill>
                  <w14:solidFill>
                    <w14:schemeClr w14:val="tx1"/>
                  </w14:solidFill>
                </w14:textFill>
              </w:rPr>
              <w:t xml:space="preserve"> = (KPI</w:t>
            </w:r>
            <w:r>
              <w:rPr>
                <w:i/>
                <w:iCs/>
                <w:color w:val="000000" w:themeColor="text1"/>
                <w:vertAlign w:val="subscript"/>
                <w14:textFill>
                  <w14:solidFill>
                    <w14:schemeClr w14:val="tx1"/>
                  </w14:solidFill>
                </w14:textFill>
              </w:rPr>
              <w:t>Actual</w:t>
            </w:r>
            <w:r>
              <w:rPr>
                <w:color w:val="000000" w:themeColor="text1"/>
                <w14:textFill>
                  <w14:solidFill>
                    <w14:schemeClr w14:val="tx1"/>
                  </w14:solidFill>
                </w14:textFill>
              </w:rPr>
              <w:t xml:space="preserve"> - KPI</w:t>
            </w:r>
            <w:r>
              <w:rPr>
                <w:i/>
                <w:iCs/>
                <w:color w:val="000000" w:themeColor="text1"/>
                <w:vertAlign w:val="subscript"/>
                <w14:textFill>
                  <w14:solidFill>
                    <w14:schemeClr w14:val="tx1"/>
                  </w14:solidFill>
                </w14:textFill>
              </w:rPr>
              <w:t>Genie</w:t>
            </w:r>
            <w:r>
              <w:rPr>
                <w:color w:val="000000" w:themeColor="text1"/>
                <w14:textFill>
                  <w14:solidFill>
                    <w14:schemeClr w14:val="tx1"/>
                  </w14:solidFill>
                </w14:textFill>
              </w:rPr>
              <w:t>); Monitoring accuracy is the percentage of samples for which | KPI</w:t>
            </w:r>
            <w:r>
              <w:rPr>
                <w:i/>
                <w:iCs/>
                <w:color w:val="000000" w:themeColor="text1"/>
                <w:vertAlign w:val="subscript"/>
                <w14:textFill>
                  <w14:solidFill>
                    <w14:schemeClr w14:val="tx1"/>
                  </w14:solidFill>
                </w14:textFill>
              </w:rPr>
              <w:t>Diff</w:t>
            </w:r>
            <w:r>
              <w:rPr>
                <w:color w:val="000000" w:themeColor="text1"/>
                <w14:textFill>
                  <w14:solidFill>
                    <w14:schemeClr w14:val="tx1"/>
                  </w14:solidFill>
                </w14:textFill>
              </w:rPr>
              <w:t>| &lt; KPI</w:t>
            </w:r>
            <w:r>
              <w:rPr>
                <w:i/>
                <w:iCs/>
                <w:color w:val="000000" w:themeColor="text1"/>
                <w:vertAlign w:val="subscript"/>
                <w14:textFill>
                  <w14:solidFill>
                    <w14:schemeClr w14:val="tx1"/>
                  </w14:solidFill>
                </w14:textFill>
              </w:rPr>
              <w:t>th 1</w:t>
            </w:r>
            <w:r>
              <w:rPr>
                <w:color w:val="000000" w:themeColor="text1"/>
                <w14:textFill>
                  <w14:solidFill>
                    <w14:schemeClr w14:val="tx1"/>
                  </w14:solidFill>
                </w14:textFill>
              </w:rPr>
              <w:t>, where KPI</w:t>
            </w:r>
            <w:r>
              <w:rPr>
                <w:i/>
                <w:iCs/>
                <w:color w:val="000000" w:themeColor="text1"/>
                <w:vertAlign w:val="subscript"/>
                <w14:textFill>
                  <w14:solidFill>
                    <w14:schemeClr w14:val="tx1"/>
                  </w14:solidFill>
                </w14:textFill>
              </w:rPr>
              <w:t>th 1</w:t>
            </w:r>
            <w:r>
              <w:rPr>
                <w:color w:val="000000" w:themeColor="text1"/>
                <w14:textFill>
                  <w14:solidFill>
                    <w14:schemeClr w14:val="tx1"/>
                  </w14:solidFill>
                </w14:textFill>
              </w:rPr>
              <w:t xml:space="preserve"> is a threshold of the intermediate KPI gap which can take the following values: </w:t>
            </w:r>
            <w:r>
              <w:rPr>
                <w:bCs/>
                <w:color w:val="000000" w:themeColor="text1"/>
                <w:lang w:eastAsia="zh-CN"/>
                <w14:textFill>
                  <w14:solidFill>
                    <w14:schemeClr w14:val="tx1"/>
                  </w14:solidFill>
                </w14:textFill>
              </w:rPr>
              <w:t>0.02, 0.05 and 0.1</w:t>
            </w:r>
            <w:r>
              <w:rPr>
                <w:color w:val="000000" w:themeColor="text1"/>
                <w14:textFill>
                  <w14:solidFill>
                    <w14:schemeClr w14:val="tx1"/>
                  </w14:solidFill>
                </w14:textFill>
              </w:rPr>
              <w:t>.</w:t>
            </w:r>
          </w:p>
          <w:p>
            <w:pPr>
              <w:pStyle w:val="146"/>
              <w:snapToGrid w:val="0"/>
              <w:spacing w:before="72" w:beforeLines="30" w:after="72" w:afterLines="30" w:line="288" w:lineRule="auto"/>
              <w:ind w:left="509" w:leftChars="113" w:hanging="283"/>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Option 2 (optional and up to companies to report): Binary state where KPI</w:t>
            </w:r>
            <w:r>
              <w:rPr>
                <w:i/>
                <w:iCs/>
                <w:color w:val="000000" w:themeColor="text1"/>
                <w:vertAlign w:val="subscript"/>
                <w14:textFill>
                  <w14:solidFill>
                    <w14:schemeClr w14:val="tx1"/>
                  </w14:solidFill>
                </w14:textFill>
              </w:rPr>
              <w:t>Actual</w:t>
            </w:r>
            <w:r>
              <w:rPr>
                <w:color w:val="000000" w:themeColor="text1"/>
                <w14:textFill>
                  <w14:solidFill>
                    <w14:schemeClr w14:val="tx1"/>
                  </w14:solidFill>
                </w14:textFill>
              </w:rPr>
              <w:t xml:space="preserve"> and KPI</w:t>
            </w:r>
            <w:r>
              <w:rPr>
                <w:i/>
                <w:iCs/>
                <w:color w:val="000000" w:themeColor="text1"/>
                <w:vertAlign w:val="subscript"/>
                <w14:textFill>
                  <w14:solidFill>
                    <w14:schemeClr w14:val="tx1"/>
                  </w14:solidFill>
                </w14:textFill>
              </w:rPr>
              <w:t>Genie</w:t>
            </w:r>
            <w:r>
              <w:rPr>
                <w:color w:val="000000" w:themeColor="text1"/>
                <w14:textFill>
                  <w14:solidFill>
                    <w14:schemeClr w14:val="tx1"/>
                  </w14:solidFill>
                </w14:textFill>
              </w:rPr>
              <w:t>, have different relationships to their threshold(s), i.e., KPI</w:t>
            </w:r>
            <w:r>
              <w:rPr>
                <w:i/>
                <w:iCs/>
                <w:color w:val="000000" w:themeColor="text1"/>
                <w:vertAlign w:val="subscript"/>
                <w14:textFill>
                  <w14:solidFill>
                    <w14:schemeClr w14:val="tx1"/>
                  </w14:solidFill>
                </w14:textFill>
              </w:rPr>
              <w:t>Diff</w:t>
            </w:r>
            <w:r>
              <w:rPr>
                <w:color w:val="000000" w:themeColor="text1"/>
                <w14:textFill>
                  <w14:solidFill>
                    <w14:schemeClr w14:val="tx1"/>
                  </w14:solidFill>
                </w14:textFill>
              </w:rPr>
              <w:t xml:space="preserve"> = (KPI</w:t>
            </w:r>
            <w:r>
              <w:rPr>
                <w:i/>
                <w:iCs/>
                <w:color w:val="000000" w:themeColor="text1"/>
                <w:vertAlign w:val="subscript"/>
                <w14:textFill>
                  <w14:solidFill>
                    <w14:schemeClr w14:val="tx1"/>
                  </w14:solidFill>
                </w14:textFill>
              </w:rPr>
              <w:t>Actual</w:t>
            </w:r>
            <w:r>
              <w:rPr>
                <w:color w:val="000000" w:themeColor="text1"/>
                <w14:textFill>
                  <w14:solidFill>
                    <w14:schemeClr w14:val="tx1"/>
                  </w14:solidFill>
                </w14:textFill>
              </w:rPr>
              <w:t xml:space="preserve"> &gt; KPI</w:t>
            </w:r>
            <w:r>
              <w:rPr>
                <w:i/>
                <w:iCs/>
                <w:color w:val="000000" w:themeColor="text1"/>
                <w:vertAlign w:val="subscript"/>
                <w14:textFill>
                  <w14:solidFill>
                    <w14:schemeClr w14:val="tx1"/>
                  </w14:solidFill>
                </w14:textFill>
              </w:rPr>
              <w:t>th 2</w:t>
            </w:r>
            <w:r>
              <w:rPr>
                <w:color w:val="000000" w:themeColor="text1"/>
                <w14:textFill>
                  <w14:solidFill>
                    <w14:schemeClr w14:val="tx1"/>
                  </w14:solidFill>
                </w14:textFill>
              </w:rPr>
              <w:t>, KPI</w:t>
            </w:r>
            <w:r>
              <w:rPr>
                <w:i/>
                <w:iCs/>
                <w:color w:val="000000" w:themeColor="text1"/>
                <w:vertAlign w:val="subscript"/>
                <w14:textFill>
                  <w14:solidFill>
                    <w14:schemeClr w14:val="tx1"/>
                  </w14:solidFill>
                </w14:textFill>
              </w:rPr>
              <w:t>Genie</w:t>
            </w:r>
            <w:r>
              <w:rPr>
                <w:color w:val="000000" w:themeColor="text1"/>
                <w14:textFill>
                  <w14:solidFill>
                    <w14:schemeClr w14:val="tx1"/>
                  </w14:solidFill>
                </w14:textFill>
              </w:rPr>
              <w:t xml:space="preserve"> &lt; KPI</w:t>
            </w:r>
            <w:r>
              <w:rPr>
                <w:i/>
                <w:iCs/>
                <w:color w:val="000000" w:themeColor="text1"/>
                <w:vertAlign w:val="subscript"/>
                <w14:textFill>
                  <w14:solidFill>
                    <w14:schemeClr w14:val="tx1"/>
                  </w14:solidFill>
                </w14:textFill>
              </w:rPr>
              <w:t>th 3</w:t>
            </w:r>
            <w:r>
              <w:rPr>
                <w:color w:val="000000" w:themeColor="text1"/>
                <w14:textFill>
                  <w14:solidFill>
                    <w14:schemeClr w14:val="tx1"/>
                  </w14:solidFill>
                </w14:textFill>
              </w:rPr>
              <w:t>) OR (KPI</w:t>
            </w:r>
            <w:r>
              <w:rPr>
                <w:i/>
                <w:iCs/>
                <w:color w:val="000000" w:themeColor="text1"/>
                <w:vertAlign w:val="subscript"/>
                <w14:textFill>
                  <w14:solidFill>
                    <w14:schemeClr w14:val="tx1"/>
                  </w14:solidFill>
                </w14:textFill>
              </w:rPr>
              <w:t>Actual</w:t>
            </w:r>
            <w:r>
              <w:rPr>
                <w:color w:val="000000" w:themeColor="text1"/>
                <w14:textFill>
                  <w14:solidFill>
                    <w14:schemeClr w14:val="tx1"/>
                  </w14:solidFill>
                </w14:textFill>
              </w:rPr>
              <w:t xml:space="preserve"> &lt; KPI</w:t>
            </w:r>
            <w:r>
              <w:rPr>
                <w:i/>
                <w:iCs/>
                <w:color w:val="000000" w:themeColor="text1"/>
                <w:vertAlign w:val="subscript"/>
                <w14:textFill>
                  <w14:solidFill>
                    <w14:schemeClr w14:val="tx1"/>
                  </w14:solidFill>
                </w14:textFill>
              </w:rPr>
              <w:t>th 2</w:t>
            </w:r>
            <w:r>
              <w:rPr>
                <w:color w:val="000000" w:themeColor="text1"/>
                <w14:textFill>
                  <w14:solidFill>
                    <w14:schemeClr w14:val="tx1"/>
                  </w14:solidFill>
                </w14:textFill>
              </w:rPr>
              <w:t>, KPI</w:t>
            </w:r>
            <w:r>
              <w:rPr>
                <w:i/>
                <w:iCs/>
                <w:color w:val="000000" w:themeColor="text1"/>
                <w:vertAlign w:val="subscript"/>
                <w14:textFill>
                  <w14:solidFill>
                    <w14:schemeClr w14:val="tx1"/>
                  </w14:solidFill>
                </w14:textFill>
              </w:rPr>
              <w:t>Genie</w:t>
            </w:r>
            <w:r>
              <w:rPr>
                <w:color w:val="000000" w:themeColor="text1"/>
                <w14:textFill>
                  <w14:solidFill>
                    <w14:schemeClr w14:val="tx1"/>
                  </w14:solidFill>
                </w14:textFill>
              </w:rPr>
              <w:t xml:space="preserve"> &gt; KPI</w:t>
            </w:r>
            <w:r>
              <w:rPr>
                <w:i/>
                <w:iCs/>
                <w:color w:val="000000" w:themeColor="text1"/>
                <w:vertAlign w:val="subscript"/>
                <w14:textFill>
                  <w14:solidFill>
                    <w14:schemeClr w14:val="tx1"/>
                  </w14:solidFill>
                </w14:textFill>
              </w:rPr>
              <w:t>th 3</w:t>
            </w:r>
            <w:r>
              <w:rPr>
                <w:color w:val="000000" w:themeColor="text1"/>
                <w14:textFill>
                  <w14:solidFill>
                    <w14:schemeClr w14:val="tx1"/>
                  </w14:solidFill>
                </w14:textFill>
              </w:rPr>
              <w:t>), where KPI</w:t>
            </w:r>
            <w:r>
              <w:rPr>
                <w:i/>
                <w:iCs/>
                <w:color w:val="000000" w:themeColor="text1"/>
                <w:vertAlign w:val="subscript"/>
                <w14:textFill>
                  <w14:solidFill>
                    <w14:schemeClr w14:val="tx1"/>
                  </w14:solidFill>
                </w14:textFill>
              </w:rPr>
              <w:t>th 2</w:t>
            </w:r>
            <w:r>
              <w:rPr>
                <w:color w:val="000000" w:themeColor="text1"/>
                <w14:textFill>
                  <w14:solidFill>
                    <w14:schemeClr w14:val="tx1"/>
                  </w14:solidFill>
                </w14:textFill>
              </w:rPr>
              <w:t xml:space="preserve"> is considered to be the same as KPI</w:t>
            </w:r>
            <w:r>
              <w:rPr>
                <w:i/>
                <w:iCs/>
                <w:color w:val="000000" w:themeColor="text1"/>
                <w:vertAlign w:val="subscript"/>
                <w14:textFill>
                  <w14:solidFill>
                    <w14:schemeClr w14:val="tx1"/>
                  </w14:solidFill>
                </w14:textFill>
              </w:rPr>
              <w:t>th 3</w:t>
            </w:r>
            <w:r>
              <w:rPr>
                <w:color w:val="000000" w:themeColor="text1"/>
                <w14:textFill>
                  <w14:solidFill>
                    <w14:schemeClr w14:val="tx1"/>
                  </w14:solidFill>
                </w14:textFill>
              </w:rPr>
              <w:t>. Monitoring accuracy is the percentage of samples for which KPI</w:t>
            </w:r>
            <w:r>
              <w:rPr>
                <w:i/>
                <w:iCs/>
                <w:color w:val="000000" w:themeColor="text1"/>
                <w:vertAlign w:val="subscript"/>
                <w14:textFill>
                  <w14:solidFill>
                    <w14:schemeClr w14:val="tx1"/>
                  </w14:solidFill>
                </w14:textFill>
              </w:rPr>
              <w:t>Diff</w:t>
            </w:r>
            <w:r>
              <w:rPr>
                <w:color w:val="000000" w:themeColor="text1"/>
                <w14:textFill>
                  <w14:solidFill>
                    <w14:schemeClr w14:val="tx1"/>
                  </w14:solidFill>
                </w14:textFill>
              </w:rPr>
              <w:t xml:space="preserve"> = 0. </w:t>
            </w:r>
          </w:p>
          <w:p>
            <w:pPr>
              <w:pStyle w:val="146"/>
              <w:snapToGrid w:val="0"/>
              <w:spacing w:before="72" w:beforeLines="30" w:after="72" w:afterLines="30" w:line="288" w:lineRule="auto"/>
              <w:ind w:left="509" w:leftChars="113" w:hanging="283"/>
              <w:rPr>
                <w:color w:val="000000" w:themeColor="text1"/>
                <w14:textFill>
                  <w14:solidFill>
                    <w14:schemeClr w14:val="tx1"/>
                  </w14:solidFill>
                </w14:textFill>
              </w:rPr>
            </w:pPr>
          </w:p>
          <w:p>
            <w:pPr>
              <w:pStyle w:val="146"/>
              <w:snapToGrid w:val="0"/>
              <w:spacing w:before="72" w:beforeLines="30" w:after="72" w:afterLines="30" w:line="288" w:lineRule="auto"/>
              <w:ind w:left="0" w:firstLine="0"/>
              <w:rPr>
                <w:rFonts w:eastAsia="宋体"/>
                <w:b/>
                <w:bCs/>
                <w:color w:val="000000" w:themeColor="text1"/>
                <w:lang w:val="en-US" w:eastAsia="zh-CN"/>
                <w14:textFill>
                  <w14:solidFill>
                    <w14:schemeClr w14:val="tx1"/>
                  </w14:solidFill>
                </w14:textFill>
              </w:rPr>
            </w:pPr>
            <w:r>
              <w:rPr>
                <w:rFonts w:eastAsia="宋体"/>
                <w:b/>
                <w:bCs/>
                <w:color w:val="000000" w:themeColor="text1"/>
                <w:lang w:val="en-US" w:eastAsia="zh-CN"/>
                <w14:textFill>
                  <w14:solidFill>
                    <w14:schemeClr w14:val="tx1"/>
                  </w14:solidFill>
                </w14:textFill>
              </w:rPr>
              <w:t>Proposal</w:t>
            </w:r>
          </w:p>
          <w:p>
            <w:pPr>
              <w:overflowPunct w:val="0"/>
              <w:autoSpaceDE w:val="0"/>
              <w:autoSpaceDN w:val="0"/>
              <w:adjustRightInd w:val="0"/>
              <w:snapToGrid w:val="0"/>
              <w:spacing w:before="72" w:beforeLines="30" w:after="72" w:afterLines="30" w:line="288" w:lineRule="auto"/>
              <w:jc w:val="both"/>
              <w:textAlignment w:val="baseline"/>
              <w:rPr>
                <w:rFonts w:eastAsia="Malgun Gothic"/>
                <w:color w:val="000000" w:themeColor="text1"/>
                <w:szCs w:val="20"/>
                <w:lang w:eastAsia="en-US"/>
                <w14:textFill>
                  <w14:solidFill>
                    <w14:schemeClr w14:val="tx1"/>
                  </w14:solidFill>
                </w14:textFill>
              </w:rPr>
            </w:pPr>
            <w:r>
              <w:rPr>
                <w:rFonts w:eastAsia="宋体"/>
                <w:color w:val="000000" w:themeColor="text1"/>
                <w:szCs w:val="20"/>
                <w:lang w:eastAsia="en-US"/>
                <w14:textFill>
                  <w14:solidFill>
                    <w14:schemeClr w14:val="tx1"/>
                  </w14:solidFill>
                </w14:textFill>
              </w:rPr>
              <w:t xml:space="preserve">Evaluate the monitoring decision performance, including accuracy, overhead, latency, complexity, and generalization ability for NW-side and UE-side monitoring approaches. </w:t>
            </w:r>
          </w:p>
          <w:p>
            <w:pPr>
              <w:numPr>
                <w:ilvl w:val="0"/>
                <w:numId w:val="42"/>
              </w:numPr>
              <w:suppressAutoHyphens/>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 xml:space="preserve">Use false alarm probability and missed </w:t>
            </w:r>
            <w:r>
              <w:rPr>
                <w:rFonts w:eastAsia="宋体"/>
                <w:color w:val="000000" w:themeColor="text1"/>
                <w:lang w:val="en-GB"/>
                <w14:textFill>
                  <w14:solidFill>
                    <w14:schemeClr w14:val="tx1"/>
                  </w14:solidFill>
                </w14:textFill>
              </w:rPr>
              <w:t>detection probability</w:t>
            </w:r>
            <w:r>
              <w:rPr>
                <w:rFonts w:eastAsia="Calibri"/>
                <w:color w:val="000000" w:themeColor="text1"/>
                <w:lang w:val="en-GB" w:eastAsia="en-US"/>
                <w14:textFill>
                  <w14:solidFill>
                    <w14:schemeClr w14:val="tx1"/>
                  </w14:solidFill>
                </w14:textFill>
              </w:rPr>
              <w:t xml:space="preserve"> as KPIs for the monitoring decision accuracy as a starting point.</w:t>
            </w:r>
          </w:p>
          <w:p>
            <w:pPr>
              <w:numPr>
                <w:ilvl w:val="1"/>
                <w:numId w:val="42"/>
              </w:numPr>
              <w:suppressAutoHyphens/>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KPI</w:t>
            </w:r>
            <w:r>
              <w:rPr>
                <w:rFonts w:eastAsia="Calibri"/>
                <w:color w:val="000000" w:themeColor="text1"/>
                <w:vertAlign w:val="subscript"/>
                <w:lang w:val="en-GB" w:eastAsia="en-US"/>
                <w14:textFill>
                  <w14:solidFill>
                    <w14:schemeClr w14:val="tx1"/>
                  </w14:solidFill>
                </w14:textFill>
              </w:rPr>
              <w:t>FA</w:t>
            </w:r>
            <w:r>
              <w:rPr>
                <w:rFonts w:eastAsia="Calibri"/>
                <w:color w:val="000000" w:themeColor="text1"/>
                <w:lang w:val="en-GB" w:eastAsia="en-US"/>
                <w14:textFill>
                  <w14:solidFill>
                    <w14:schemeClr w14:val="tx1"/>
                  </w14:solidFill>
                </w14:textFill>
              </w:rPr>
              <w:t xml:space="preserve"> =Prob(KPI</w:t>
            </w:r>
            <w:r>
              <w:rPr>
                <w:rFonts w:eastAsia="Calibri"/>
                <w:color w:val="000000" w:themeColor="text1"/>
                <w:vertAlign w:val="subscript"/>
                <w:lang w:val="en-GB" w:eastAsia="en-US"/>
                <w14:textFill>
                  <w14:solidFill>
                    <w14:schemeClr w14:val="tx1"/>
                  </w14:solidFill>
                </w14:textFill>
              </w:rPr>
              <w:t>Actual</w:t>
            </w:r>
            <w:r>
              <w:rPr>
                <w:rFonts w:eastAsia="Calibri"/>
                <w:color w:val="000000" w:themeColor="text1"/>
                <w:lang w:val="en-GB" w:eastAsia="en-US"/>
                <w14:textFill>
                  <w14:solidFill>
                    <w14:schemeClr w14:val="tx1"/>
                  </w14:solidFill>
                </w14:textFill>
              </w:rPr>
              <w:t xml:space="preserve"> &lt; thr), where the AI/ML model#A is trained based on training dataset from Scenario#A/Configuration#A, and the evaluation is performed on the model#A and a dataset from the same Scenario#A/Configuration#A.</w:t>
            </w:r>
          </w:p>
          <w:p>
            <w:pPr>
              <w:numPr>
                <w:ilvl w:val="1"/>
                <w:numId w:val="42"/>
              </w:numPr>
              <w:suppressAutoHyphens/>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KPI</w:t>
            </w:r>
            <w:r>
              <w:rPr>
                <w:rFonts w:eastAsia="Calibri"/>
                <w:color w:val="000000" w:themeColor="text1"/>
                <w:vertAlign w:val="subscript"/>
                <w:lang w:val="en-GB" w:eastAsia="en-US"/>
                <w14:textFill>
                  <w14:solidFill>
                    <w14:schemeClr w14:val="tx1"/>
                  </w14:solidFill>
                </w14:textFill>
              </w:rPr>
              <w:t>MD</w:t>
            </w:r>
            <w:r>
              <w:rPr>
                <w:rFonts w:eastAsia="Calibri"/>
                <w:color w:val="000000" w:themeColor="text1"/>
                <w:lang w:val="en-GB" w:eastAsia="en-US"/>
                <w14:textFill>
                  <w14:solidFill>
                    <w14:schemeClr w14:val="tx1"/>
                  </w14:solidFill>
                </w14:textFill>
              </w:rPr>
              <w:t xml:space="preserve"> =Prob(KPI</w:t>
            </w:r>
            <w:r>
              <w:rPr>
                <w:rFonts w:eastAsia="Calibri"/>
                <w:color w:val="000000" w:themeColor="text1"/>
                <w:vertAlign w:val="subscript"/>
                <w:lang w:val="en-GB" w:eastAsia="en-US"/>
                <w14:textFill>
                  <w14:solidFill>
                    <w14:schemeClr w14:val="tx1"/>
                  </w14:solidFill>
                </w14:textFill>
              </w:rPr>
              <w:t>Actual</w:t>
            </w:r>
            <w:r>
              <w:rPr>
                <w:rFonts w:eastAsia="Calibri"/>
                <w:color w:val="000000" w:themeColor="text1"/>
                <w:lang w:val="en-GB" w:eastAsia="en-US"/>
                <w14:textFill>
                  <w14:solidFill>
                    <w14:schemeClr w14:val="tx1"/>
                  </w14:solidFill>
                </w14:textFill>
              </w:rP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pPr>
              <w:numPr>
                <w:ilvl w:val="1"/>
                <w:numId w:val="42"/>
              </w:numPr>
              <w:suppressAutoHyphens/>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KPI</w:t>
            </w:r>
            <w:r>
              <w:rPr>
                <w:rFonts w:eastAsia="Calibri"/>
                <w:color w:val="000000" w:themeColor="text1"/>
                <w:vertAlign w:val="subscript"/>
                <w:lang w:val="en-GB" w:eastAsia="en-US"/>
                <w14:textFill>
                  <w14:solidFill>
                    <w14:schemeClr w14:val="tx1"/>
                  </w14:solidFill>
                </w14:textFill>
              </w:rPr>
              <w:t>Actual</w:t>
            </w:r>
            <w:r>
              <w:rPr>
                <w:rFonts w:eastAsia="Calibri"/>
                <w:color w:val="000000" w:themeColor="text1"/>
                <w:lang w:val="en-GB" w:eastAsia="en-US"/>
                <w14:textFill>
                  <w14:solidFill>
                    <w14:schemeClr w14:val="tx1"/>
                  </w14:solidFill>
                </w14:textFill>
              </w:rPr>
              <w:t xml:space="preserve"> is obtained based on N samples.</w:t>
            </w:r>
          </w:p>
          <w:p>
            <w:pPr>
              <w:numPr>
                <w:ilvl w:val="2"/>
                <w:numId w:val="42"/>
              </w:numPr>
              <w:suppressAutoHyphens/>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In case of SGCS as KPI, KPI</w:t>
            </w:r>
            <w:r>
              <w:rPr>
                <w:rFonts w:eastAsia="Calibri"/>
                <w:color w:val="000000" w:themeColor="text1"/>
                <w:vertAlign w:val="subscript"/>
                <w:lang w:val="en-GB" w:eastAsia="en-US"/>
                <w14:textFill>
                  <w14:solidFill>
                    <w14:schemeClr w14:val="tx1"/>
                  </w14:solidFill>
                </w14:textFill>
              </w:rPr>
              <w:t>Actual</w:t>
            </w:r>
            <w:r>
              <w:rPr>
                <w:rFonts w:eastAsia="Calibri"/>
                <w:color w:val="000000" w:themeColor="text1"/>
                <w:lang w:val="en-GB" w:eastAsia="en-US"/>
                <w14:textFill>
                  <w14:solidFill>
                    <w14:schemeClr w14:val="tx1"/>
                  </w14:solidFill>
                </w14:textFill>
              </w:rPr>
              <w:t xml:space="preserve"> can be derived by averaging the SGCS estimate over N samples.</w:t>
            </w:r>
          </w:p>
          <w:p>
            <w:pPr>
              <w:numPr>
                <w:ilvl w:val="2"/>
                <w:numId w:val="42"/>
              </w:numPr>
              <w:suppressAutoHyphens/>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Calibri"/>
                <w:color w:val="000000" w:themeColor="text1"/>
                <w:lang w:val="en-GB" w:eastAsia="en-US"/>
                <w14:textFill>
                  <w14:solidFill>
                    <w14:schemeClr w14:val="tx1"/>
                  </w14:solidFill>
                </w14:textFill>
              </w:rPr>
              <w:t>N should be large enough to average out channel variations and allow accurate monitoring decisions</w:t>
            </w:r>
          </w:p>
          <w:p>
            <w:pPr>
              <w:numPr>
                <w:ilvl w:val="1"/>
                <w:numId w:val="42"/>
              </w:numPr>
              <w:suppressAutoHyphens/>
              <w:snapToGrid w:val="0"/>
              <w:spacing w:before="72" w:beforeLines="30" w:after="72" w:afterLines="30" w:line="288" w:lineRule="auto"/>
              <w:jc w:val="both"/>
              <w:rPr>
                <w:rFonts w:eastAsia="Calibri"/>
                <w:color w:val="000000" w:themeColor="text1"/>
                <w:lang w:val="en-GB" w:eastAsia="en-US"/>
                <w14:textFill>
                  <w14:solidFill>
                    <w14:schemeClr w14:val="tx1"/>
                  </w14:solidFill>
                </w14:textFill>
              </w:rPr>
            </w:pPr>
            <w:r>
              <w:rPr>
                <w:rFonts w:eastAsia="宋体"/>
                <w:color w:val="000000" w:themeColor="text1"/>
                <w:lang w:val="en-GB"/>
                <w14:textFill>
                  <w14:solidFill>
                    <w14:schemeClr w14:val="tx1"/>
                  </w14:solidFill>
                </w14:textFill>
              </w:rPr>
              <w:t xml:space="preserve">Companies determine thr </w:t>
            </w:r>
            <w:r>
              <w:rPr>
                <w:rFonts w:eastAsia="宋体"/>
                <w:bCs/>
                <w:color w:val="000000" w:themeColor="text1"/>
                <w:lang w:val="en-GB"/>
                <w14:textFill>
                  <w14:solidFill>
                    <w14:schemeClr w14:val="tx1"/>
                  </w14:solidFill>
                </w14:textFill>
              </w:rPr>
              <w:t xml:space="preserve">based </w:t>
            </w:r>
            <w:r>
              <w:rPr>
                <w:rFonts w:eastAsia="宋体"/>
                <w:color w:val="000000" w:themeColor="text1"/>
                <w:lang w:val="en-GB"/>
                <w14:textFill>
                  <w14:solidFill>
                    <w14:schemeClr w14:val="tx1"/>
                  </w14:solidFill>
                </w14:textFill>
              </w:rPr>
              <w:t xml:space="preserve">on a target false-alarm rate, e.g., 0.02, 0.05 or 0.1, and report the </w:t>
            </w:r>
            <w:r>
              <w:rPr>
                <w:rFonts w:eastAsia="Calibri"/>
                <w:color w:val="000000" w:themeColor="text1"/>
                <w:lang w:val="en-GB" w:eastAsia="en-US"/>
                <w14:textFill>
                  <w14:solidFill>
                    <w14:schemeClr w14:val="tx1"/>
                  </w14:solidFill>
                </w14:textFill>
              </w:rPr>
              <w:t>KPI</w:t>
            </w:r>
            <w:r>
              <w:rPr>
                <w:rFonts w:eastAsia="Calibri"/>
                <w:color w:val="000000" w:themeColor="text1"/>
                <w:vertAlign w:val="subscript"/>
                <w:lang w:val="en-GB" w:eastAsia="en-US"/>
                <w14:textFill>
                  <w14:solidFill>
                    <w14:schemeClr w14:val="tx1"/>
                  </w14:solidFill>
                </w14:textFill>
              </w:rPr>
              <w:t>MD</w:t>
            </w:r>
            <w:r>
              <w:rPr>
                <w:rFonts w:eastAsia="宋体"/>
                <w:color w:val="000000" w:themeColor="text1"/>
                <w:lang w:val="en-GB"/>
                <w14:textFill>
                  <w14:solidFill>
                    <w14:schemeClr w14:val="tx1"/>
                  </w14:solidFill>
                </w14:textFill>
              </w:rPr>
              <w:t xml:space="preserve"> </w:t>
            </w:r>
            <w:r>
              <w:rPr>
                <w:rFonts w:eastAsia="宋体"/>
                <w:bCs/>
                <w:color w:val="000000" w:themeColor="text1"/>
                <w:lang w:val="en-GB"/>
                <w14:textFill>
                  <w14:solidFill>
                    <w14:schemeClr w14:val="tx1"/>
                  </w14:solidFill>
                </w14:textFill>
              </w:rPr>
              <w:t>for the</w:t>
            </w:r>
            <w:r>
              <w:rPr>
                <w:rFonts w:eastAsia="宋体"/>
                <w:color w:val="000000" w:themeColor="text1"/>
                <w:lang w:val="en-GB"/>
                <w14:textFill>
                  <w14:solidFill>
                    <w14:schemeClr w14:val="tx1"/>
                  </w14:solidFill>
                </w14:textFill>
              </w:rPr>
              <w:t xml:space="preserve"> thr.</w:t>
            </w:r>
          </w:p>
          <w:p>
            <w:pPr>
              <w:numPr>
                <w:ilvl w:val="1"/>
                <w:numId w:val="42"/>
              </w:numPr>
              <w:suppressAutoHyphens/>
              <w:snapToGrid w:val="0"/>
              <w:spacing w:before="72" w:beforeLines="30" w:after="72" w:afterLines="30" w:line="288" w:lineRule="auto"/>
              <w:jc w:val="both"/>
              <w:rPr>
                <w:rFonts w:eastAsia="宋体"/>
                <w:color w:val="000000" w:themeColor="text1"/>
                <w14:textFill>
                  <w14:solidFill>
                    <w14:schemeClr w14:val="tx1"/>
                  </w14:solidFill>
                </w14:textFill>
              </w:rPr>
            </w:pPr>
            <w:r>
              <w:rPr>
                <w:rFonts w:eastAsia="Calibri"/>
                <w:color w:val="000000" w:themeColor="text1"/>
                <w:lang w:val="en-GB" w:eastAsia="en-US"/>
                <w14:textFill>
                  <w14:solidFill>
                    <w14:schemeClr w14:val="tx1"/>
                  </w14:solidFill>
                </w14:textFill>
              </w:rPr>
              <w:t>To also consider rank&gt;1 with an appropriate metric for the given KPI.</w:t>
            </w:r>
          </w:p>
        </w:tc>
      </w:tr>
    </w:tbl>
    <w:p>
      <w:pPr>
        <w:tabs>
          <w:tab w:val="left" w:pos="990"/>
        </w:tabs>
        <w:adjustRightInd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szCs w:val="20"/>
          <w14:textFill>
            <w14:solidFill>
              <w14:schemeClr w14:val="tx1"/>
            </w14:solidFill>
          </w14:textFill>
        </w:rPr>
        <w:t xml:space="preserve">In TR 38.843, the intermediate KPI SGCS is used to evaluate the accuracy of the AI/ML output CSI. If a model is working well, it implies that the </w:t>
      </w:r>
      <w:r>
        <w:rPr>
          <w:color w:val="000000" w:themeColor="text1"/>
          <w14:textFill>
            <w14:solidFill>
              <w14:schemeClr w14:val="tx1"/>
            </w14:solidFill>
          </w14:textFill>
        </w:rPr>
        <w:t>KPI</w:t>
      </w:r>
      <w:r>
        <w:rPr>
          <w:color w:val="000000" w:themeColor="text1"/>
          <w:vertAlign w:val="subscript"/>
          <w14:textFill>
            <w14:solidFill>
              <w14:schemeClr w14:val="tx1"/>
            </w14:solidFill>
          </w14:textFill>
        </w:rPr>
        <w:t>Genie</w:t>
      </w:r>
      <w:r>
        <w:rPr>
          <w:rFonts w:hint="eastAsia" w:eastAsia="宋体"/>
          <w:color w:val="000000" w:themeColor="text1"/>
          <w:vertAlign w:val="subscript"/>
          <w14:textFill>
            <w14:solidFill>
              <w14:schemeClr w14:val="tx1"/>
            </w14:solidFill>
          </w14:textFill>
        </w:rPr>
        <w:t xml:space="preserve"> </w:t>
      </w:r>
      <w:r>
        <w:rPr>
          <w:rFonts w:hint="eastAsia" w:eastAsia="宋体"/>
          <w:color w:val="000000" w:themeColor="text1"/>
          <w:szCs w:val="20"/>
          <w14:textFill>
            <w14:solidFill>
              <w14:schemeClr w14:val="tx1"/>
            </w14:solidFill>
          </w14:textFill>
        </w:rPr>
        <w:t xml:space="preserve">calculated with output CSI and the ground-truth CSI of Float32 should be larger than a threshold, i.e., </w:t>
      </w:r>
      <w:r>
        <w:rPr>
          <w:color w:val="000000" w:themeColor="text1"/>
          <w14:textFill>
            <w14:solidFill>
              <w14:schemeClr w14:val="tx1"/>
            </w14:solidFill>
          </w14:textFill>
        </w:rPr>
        <w:t>KPI</w:t>
      </w:r>
      <w:r>
        <w:rPr>
          <w:color w:val="000000" w:themeColor="text1"/>
          <w:vertAlign w:val="subscript"/>
          <w14:textFill>
            <w14:solidFill>
              <w14:schemeClr w14:val="tx1"/>
            </w14:solidFill>
          </w14:textFill>
        </w:rPr>
        <w:t>Genie</w:t>
      </w:r>
      <w:r>
        <w:rPr>
          <w:color w:val="000000" w:themeColor="text1"/>
          <w14:textFill>
            <w14:solidFill>
              <w14:schemeClr w14:val="tx1"/>
            </w14:solidFill>
          </w14:textFill>
        </w:rPr>
        <w:t xml:space="preserve"> &gt; KPI</w:t>
      </w:r>
      <w:r>
        <w:rPr>
          <w:color w:val="000000" w:themeColor="text1"/>
          <w:vertAlign w:val="subscript"/>
          <w14:textFill>
            <w14:solidFill>
              <w14:schemeClr w14:val="tx1"/>
            </w14:solidFill>
          </w14:textFill>
        </w:rPr>
        <w:t>th 3</w:t>
      </w:r>
      <w:r>
        <w:rPr>
          <w:rFonts w:hint="eastAsia" w:eastAsia="宋体"/>
          <w:color w:val="000000" w:themeColor="text1"/>
          <w:vertAlign w:val="subscript"/>
          <w14:textFill>
            <w14:solidFill>
              <w14:schemeClr w14:val="tx1"/>
            </w14:solidFill>
          </w14:textFill>
        </w:rPr>
        <w:t xml:space="preserve">. </w:t>
      </w:r>
      <w:r>
        <w:rPr>
          <w:rFonts w:hint="eastAsia" w:eastAsia="宋体"/>
          <w:color w:val="000000" w:themeColor="text1"/>
          <w:szCs w:val="20"/>
          <w14:textFill>
            <w14:solidFill>
              <w14:schemeClr w14:val="tx1"/>
            </w14:solidFill>
          </w14:textFill>
        </w:rPr>
        <w:t xml:space="preserve">Then, in this case, the </w:t>
      </w:r>
      <w:r>
        <w:rPr>
          <w:rFonts w:eastAsia="Calibri"/>
          <w:color w:val="000000" w:themeColor="text1"/>
          <w:lang w:val="en-GB" w:eastAsia="en-US"/>
          <w14:textFill>
            <w14:solidFill>
              <w14:schemeClr w14:val="tx1"/>
            </w14:solidFill>
          </w14:textFill>
        </w:rPr>
        <w:t>false alarm probability</w:t>
      </w:r>
      <w:r>
        <w:rPr>
          <w:rFonts w:hint="eastAsia" w:eastAsia="宋体"/>
          <w:color w:val="000000" w:themeColor="text1"/>
          <w:szCs w:val="20"/>
          <w14:textFill>
            <w14:solidFill>
              <w14:schemeClr w14:val="tx1"/>
            </w14:solidFill>
          </w14:textFill>
        </w:rPr>
        <w:t xml:space="preserve"> can be defined based on the number of samples (out of N samples) satisfying the condition that the </w:t>
      </w:r>
      <w:r>
        <w:rPr>
          <w:rFonts w:eastAsia="Calibri"/>
          <w:color w:val="000000" w:themeColor="text1"/>
          <w:lang w:val="en-GB" w:eastAsia="en-US"/>
          <w14:textFill>
            <w14:solidFill>
              <w14:schemeClr w14:val="tx1"/>
            </w14:solidFill>
          </w14:textFill>
        </w:rPr>
        <w:t>KPI</w:t>
      </w:r>
      <w:r>
        <w:rPr>
          <w:rFonts w:eastAsia="Calibri"/>
          <w:color w:val="000000" w:themeColor="text1"/>
          <w:vertAlign w:val="subscript"/>
          <w:lang w:val="en-GB" w:eastAsia="en-US"/>
          <w14:textFill>
            <w14:solidFill>
              <w14:schemeClr w14:val="tx1"/>
            </w14:solidFill>
          </w14:textFill>
        </w:rPr>
        <w:t>Actual</w:t>
      </w:r>
      <w:r>
        <w:rPr>
          <w:rFonts w:hint="eastAsia" w:eastAsia="宋体"/>
          <w:color w:val="000000" w:themeColor="text1"/>
          <w:vertAlign w:val="subscript"/>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is less than a threshold, i.e., </w:t>
      </w:r>
      <w:r>
        <w:rPr>
          <w:color w:val="000000" w:themeColor="text1"/>
          <w14:textFill>
            <w14:solidFill>
              <w14:schemeClr w14:val="tx1"/>
            </w14:solidFill>
          </w14:textFill>
        </w:rPr>
        <w:t>KPI</w:t>
      </w:r>
      <w:r>
        <w:rPr>
          <w:color w:val="000000" w:themeColor="text1"/>
          <w:vertAlign w:val="subscript"/>
          <w14:textFill>
            <w14:solidFill>
              <w14:schemeClr w14:val="tx1"/>
            </w14:solidFill>
          </w14:textFill>
        </w:rPr>
        <w:t>Actual</w:t>
      </w:r>
      <w:r>
        <w:rPr>
          <w:color w:val="000000" w:themeColor="text1"/>
          <w14:textFill>
            <w14:solidFill>
              <w14:schemeClr w14:val="tx1"/>
            </w14:solidFill>
          </w14:textFill>
        </w:rPr>
        <w:t xml:space="preserve"> &lt; KPI</w:t>
      </w:r>
      <w:r>
        <w:rPr>
          <w:color w:val="000000" w:themeColor="text1"/>
          <w:vertAlign w:val="subscript"/>
          <w14:textFill>
            <w14:solidFill>
              <w14:schemeClr w14:val="tx1"/>
            </w14:solidFill>
          </w14:textFill>
        </w:rPr>
        <w:t>th 2</w:t>
      </w:r>
      <w:r>
        <w:rPr>
          <w:color w:val="000000" w:themeColor="text1"/>
          <w14:textFill>
            <w14:solidFill>
              <w14:schemeClr w14:val="tx1"/>
            </w14:solidFill>
          </w14:textFill>
        </w:rPr>
        <w:t>, where KPI</w:t>
      </w:r>
      <w:r>
        <w:rPr>
          <w:color w:val="000000" w:themeColor="text1"/>
          <w:vertAlign w:val="subscript"/>
          <w14:textFill>
            <w14:solidFill>
              <w14:schemeClr w14:val="tx1"/>
            </w14:solidFill>
          </w14:textFill>
        </w:rPr>
        <w:t xml:space="preserve">th 2 </w:t>
      </w:r>
      <w:r>
        <w:rPr>
          <w:color w:val="000000" w:themeColor="text1"/>
          <w14:textFill>
            <w14:solidFill>
              <w14:schemeClr w14:val="tx1"/>
            </w14:solidFill>
          </w14:textFill>
        </w:rPr>
        <w:t>is considered to be the same as KPI</w:t>
      </w:r>
      <w:r>
        <w:rPr>
          <w:color w:val="000000" w:themeColor="text1"/>
          <w:vertAlign w:val="subscript"/>
          <w14:textFill>
            <w14:solidFill>
              <w14:schemeClr w14:val="tx1"/>
            </w14:solidFill>
          </w14:textFill>
        </w:rPr>
        <w:t>th 3</w:t>
      </w:r>
      <w:r>
        <w:rPr>
          <w:rFonts w:hint="eastAsia" w:eastAsia="宋体"/>
          <w:color w:val="000000" w:themeColor="text1"/>
          <w:vertAlign w:val="subscript"/>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Apparently, </w:t>
      </w:r>
      <w:r>
        <w:rPr>
          <w:rFonts w:hint="eastAsia" w:eastAsia="宋体"/>
          <w:color w:val="000000" w:themeColor="text1"/>
          <w:szCs w:val="20"/>
          <w14:textFill>
            <w14:solidFill>
              <w14:schemeClr w14:val="tx1"/>
            </w14:solidFill>
          </w14:textFill>
        </w:rPr>
        <w:t xml:space="preserve">the </w:t>
      </w:r>
      <w:r>
        <w:rPr>
          <w:rFonts w:eastAsia="Calibri"/>
          <w:color w:val="000000" w:themeColor="text1"/>
          <w:lang w:val="en-GB" w:eastAsia="en-US"/>
          <w14:textFill>
            <w14:solidFill>
              <w14:schemeClr w14:val="tx1"/>
            </w14:solidFill>
          </w14:textFill>
        </w:rPr>
        <w:t>false alarm probability</w:t>
      </w:r>
      <w:r>
        <w:rPr>
          <w:rFonts w:hint="eastAsia" w:eastAsia="宋体"/>
          <w:color w:val="000000" w:themeColor="text1"/>
          <w:szCs w:val="20"/>
          <w14:textFill>
            <w14:solidFill>
              <w14:schemeClr w14:val="tx1"/>
            </w14:solidFill>
          </w14:textFill>
        </w:rPr>
        <w:t xml:space="preserve"> is equal to </w:t>
      </w:r>
      <w:r>
        <w:rPr>
          <w:rFonts w:eastAsia="Calibri"/>
          <w:color w:val="000000" w:themeColor="text1"/>
          <w:lang w:val="en-GB" w:eastAsia="en-US"/>
          <w14:textFill>
            <w14:solidFill>
              <w14:schemeClr w14:val="tx1"/>
            </w14:solidFill>
          </w14:textFill>
        </w:rPr>
        <w:t>Prob(</w:t>
      </w:r>
      <w:r>
        <w:rPr>
          <w:color w:val="000000" w:themeColor="text1"/>
          <w14:textFill>
            <w14:solidFill>
              <w14:schemeClr w14:val="tx1"/>
            </w14:solidFill>
          </w14:textFill>
        </w:rPr>
        <w:t>KPI</w:t>
      </w:r>
      <w:r>
        <w:rPr>
          <w:color w:val="000000" w:themeColor="text1"/>
          <w:vertAlign w:val="subscript"/>
          <w14:textFill>
            <w14:solidFill>
              <w14:schemeClr w14:val="tx1"/>
            </w14:solidFill>
          </w14:textFill>
        </w:rPr>
        <w:t>Actual</w:t>
      </w:r>
      <w:r>
        <w:rPr>
          <w:color w:val="000000" w:themeColor="text1"/>
          <w14:textFill>
            <w14:solidFill>
              <w14:schemeClr w14:val="tx1"/>
            </w14:solidFill>
          </w14:textFill>
        </w:rPr>
        <w:t xml:space="preserve"> &lt; KPI</w:t>
      </w:r>
      <w:r>
        <w:rPr>
          <w:color w:val="000000" w:themeColor="text1"/>
          <w:vertAlign w:val="subscript"/>
          <w14:textFill>
            <w14:solidFill>
              <w14:schemeClr w14:val="tx1"/>
            </w14:solidFill>
          </w14:textFill>
        </w:rPr>
        <w:t>th 2</w:t>
      </w:r>
      <w:r>
        <w:rPr>
          <w:color w:val="000000" w:themeColor="text1"/>
          <w14:textFill>
            <w14:solidFill>
              <w14:schemeClr w14:val="tx1"/>
            </w14:solidFill>
          </w14:textFill>
        </w:rPr>
        <w:t>, KPI</w:t>
      </w:r>
      <w:r>
        <w:rPr>
          <w:color w:val="000000" w:themeColor="text1"/>
          <w:vertAlign w:val="subscript"/>
          <w14:textFill>
            <w14:solidFill>
              <w14:schemeClr w14:val="tx1"/>
            </w14:solidFill>
          </w14:textFill>
        </w:rPr>
        <w:t>Genie</w:t>
      </w:r>
      <w:r>
        <w:rPr>
          <w:color w:val="000000" w:themeColor="text1"/>
          <w14:textFill>
            <w14:solidFill>
              <w14:schemeClr w14:val="tx1"/>
            </w14:solidFill>
          </w14:textFill>
        </w:rPr>
        <w:t xml:space="preserve"> &gt; KPI</w:t>
      </w:r>
      <w:r>
        <w:rPr>
          <w:color w:val="000000" w:themeColor="text1"/>
          <w:vertAlign w:val="subscript"/>
          <w14:textFill>
            <w14:solidFill>
              <w14:schemeClr w14:val="tx1"/>
            </w14:solidFill>
          </w14:textFill>
        </w:rPr>
        <w:t>th 3</w:t>
      </w:r>
      <w:r>
        <w:rPr>
          <w:rFonts w:eastAsia="Calibri"/>
          <w:color w:val="000000" w:themeColor="text1"/>
          <w:lang w:val="en-GB" w:eastAsia="en-US"/>
          <w14:textFill>
            <w14:solidFill>
              <w14:schemeClr w14:val="tx1"/>
            </w14:solidFill>
          </w14:textFill>
        </w:rPr>
        <w:t>)</w:t>
      </w:r>
      <w:r>
        <w:rPr>
          <w:rFonts w:hint="eastAsia" w:eastAsia="宋体"/>
          <w:color w:val="000000" w:themeColor="text1"/>
          <w14:textFill>
            <w14:solidFill>
              <w14:schemeClr w14:val="tx1"/>
            </w14:solidFill>
          </w14:textFill>
        </w:rPr>
        <w:t xml:space="preserve">. Similarly, it can be derived that the </w:t>
      </w:r>
      <w:r>
        <w:rPr>
          <w:rFonts w:eastAsia="Calibri"/>
          <w:color w:val="000000" w:themeColor="text1"/>
          <w:lang w:val="en-GB" w:eastAsia="en-US"/>
          <w14:textFill>
            <w14:solidFill>
              <w14:schemeClr w14:val="tx1"/>
            </w14:solidFill>
          </w14:textFill>
        </w:rPr>
        <w:t xml:space="preserve">missed </w:t>
      </w:r>
      <w:r>
        <w:rPr>
          <w:rFonts w:eastAsia="宋体"/>
          <w:color w:val="000000" w:themeColor="text1"/>
          <w:lang w:val="en-GB"/>
          <w14:textFill>
            <w14:solidFill>
              <w14:schemeClr w14:val="tx1"/>
            </w14:solidFill>
          </w14:textFill>
        </w:rPr>
        <w:t>detection probability</w:t>
      </w:r>
      <w:r>
        <w:rPr>
          <w:rFonts w:hint="eastAsia" w:eastAsia="宋体"/>
          <w:color w:val="000000" w:themeColor="text1"/>
          <w14:textFill>
            <w14:solidFill>
              <w14:schemeClr w14:val="tx1"/>
            </w14:solidFill>
          </w14:textFill>
        </w:rPr>
        <w:t xml:space="preserve"> </w:t>
      </w:r>
      <w:r>
        <w:rPr>
          <w:rFonts w:hint="eastAsia" w:eastAsia="宋体"/>
          <w:color w:val="000000" w:themeColor="text1"/>
          <w:szCs w:val="20"/>
          <w14:textFill>
            <w14:solidFill>
              <w14:schemeClr w14:val="tx1"/>
            </w14:solidFill>
          </w14:textFill>
        </w:rPr>
        <w:t xml:space="preserve">is equal to </w:t>
      </w:r>
      <w:r>
        <w:rPr>
          <w:rFonts w:eastAsia="Calibri"/>
          <w:color w:val="000000" w:themeColor="text1"/>
          <w:lang w:val="en-GB" w:eastAsia="en-US"/>
          <w14:textFill>
            <w14:solidFill>
              <w14:schemeClr w14:val="tx1"/>
            </w14:solidFill>
          </w14:textFill>
        </w:rPr>
        <w:t>Prob(</w:t>
      </w:r>
      <w:r>
        <w:rPr>
          <w:color w:val="000000" w:themeColor="text1"/>
          <w14:textFill>
            <w14:solidFill>
              <w14:schemeClr w14:val="tx1"/>
            </w14:solidFill>
          </w14:textFill>
        </w:rPr>
        <w:t>KPI</w:t>
      </w:r>
      <w:r>
        <w:rPr>
          <w:color w:val="000000" w:themeColor="text1"/>
          <w:vertAlign w:val="subscript"/>
          <w14:textFill>
            <w14:solidFill>
              <w14:schemeClr w14:val="tx1"/>
            </w14:solidFill>
          </w14:textFill>
        </w:rPr>
        <w:t>Actual</w:t>
      </w:r>
      <w:r>
        <w:rPr>
          <w:color w:val="000000" w:themeColor="text1"/>
          <w14:textFill>
            <w14:solidFill>
              <w14:schemeClr w14:val="tx1"/>
            </w14:solidFill>
          </w14:textFill>
        </w:rPr>
        <w:t xml:space="preserve"> &gt; KPI</w:t>
      </w:r>
      <w:r>
        <w:rPr>
          <w:color w:val="000000" w:themeColor="text1"/>
          <w:vertAlign w:val="subscript"/>
          <w14:textFill>
            <w14:solidFill>
              <w14:schemeClr w14:val="tx1"/>
            </w14:solidFill>
          </w14:textFill>
        </w:rPr>
        <w:t>th 2</w:t>
      </w:r>
      <w:r>
        <w:rPr>
          <w:color w:val="000000" w:themeColor="text1"/>
          <w14:textFill>
            <w14:solidFill>
              <w14:schemeClr w14:val="tx1"/>
            </w14:solidFill>
          </w14:textFill>
        </w:rPr>
        <w:t>, KPI</w:t>
      </w:r>
      <w:r>
        <w:rPr>
          <w:color w:val="000000" w:themeColor="text1"/>
          <w:vertAlign w:val="subscript"/>
          <w14:textFill>
            <w14:solidFill>
              <w14:schemeClr w14:val="tx1"/>
            </w14:solidFill>
          </w14:textFill>
        </w:rPr>
        <w:t>Genie</w:t>
      </w:r>
      <w:r>
        <w:rPr>
          <w:color w:val="000000" w:themeColor="text1"/>
          <w14:textFill>
            <w14:solidFill>
              <w14:schemeClr w14:val="tx1"/>
            </w14:solidFill>
          </w14:textFill>
        </w:rPr>
        <w:t xml:space="preserve"> &lt; KPI</w:t>
      </w:r>
      <w:r>
        <w:rPr>
          <w:color w:val="000000" w:themeColor="text1"/>
          <w:vertAlign w:val="subscript"/>
          <w14:textFill>
            <w14:solidFill>
              <w14:schemeClr w14:val="tx1"/>
            </w14:solidFill>
          </w14:textFill>
        </w:rPr>
        <w:t>th 3</w:t>
      </w:r>
      <w:r>
        <w:rPr>
          <w:rFonts w:eastAsia="Calibri"/>
          <w:color w:val="000000" w:themeColor="text1"/>
          <w:lang w:val="en-GB" w:eastAsia="en-US"/>
          <w14:textFill>
            <w14:solidFill>
              <w14:schemeClr w14:val="tx1"/>
            </w14:solidFill>
          </w14:textFill>
        </w:rPr>
        <w:t>)</w:t>
      </w:r>
      <w:r>
        <w:rPr>
          <w:rFonts w:hint="eastAsia" w:eastAsia="宋体"/>
          <w:color w:val="000000" w:themeColor="text1"/>
          <w14:textFill>
            <w14:solidFill>
              <w14:schemeClr w14:val="tx1"/>
            </w14:solidFill>
          </w14:textFill>
        </w:rPr>
        <w:t xml:space="preserve">. There is no difference between the </w:t>
      </w:r>
      <w:r>
        <w:rPr>
          <w:rFonts w:hint="eastAsia" w:eastAsia="宋体"/>
          <w:color w:val="000000" w:themeColor="text1"/>
          <w:szCs w:val="20"/>
          <w14:textFill>
            <w14:solidFill>
              <w14:schemeClr w14:val="tx1"/>
            </w14:solidFill>
          </w14:textFill>
        </w:rPr>
        <w:t xml:space="preserve">new performance metrics (false alarm probability and missed detection probability) in the above proposal and </w:t>
      </w:r>
      <w:r>
        <w:rPr>
          <w:color w:val="000000" w:themeColor="text1"/>
          <w14:textFill>
            <w14:solidFill>
              <w14:schemeClr w14:val="tx1"/>
            </w14:solidFill>
          </w14:textFill>
        </w:rPr>
        <w:t>KPI</w:t>
      </w:r>
      <w:r>
        <w:rPr>
          <w:color w:val="000000" w:themeColor="text1"/>
          <w:vertAlign w:val="subscript"/>
          <w14:textFill>
            <w14:solidFill>
              <w14:schemeClr w14:val="tx1"/>
            </w14:solidFill>
          </w14:textFill>
        </w:rPr>
        <w:t>Diff</w:t>
      </w:r>
      <w:r>
        <w:rPr>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option 2 in TR 38.843.</w:t>
      </w:r>
    </w:p>
    <w:p>
      <w:pPr>
        <w:tabs>
          <w:tab w:val="left" w:pos="990"/>
        </w:tabs>
        <w:adjustRightInd w:val="0"/>
        <w:snapToGrid w:val="0"/>
        <w:spacing w:before="72" w:beforeLines="30" w:after="72" w:afterLines="30" w:line="288" w:lineRule="auto"/>
        <w:jc w:val="both"/>
        <w:rPr>
          <w:rFonts w:eastAsia="宋体"/>
          <w:i/>
          <w:iCs/>
          <w:color w:val="000000" w:themeColor="text1"/>
          <w14:textFill>
            <w14:solidFill>
              <w14:schemeClr w14:val="tx1"/>
            </w14:solidFill>
          </w14:textFill>
        </w:rPr>
      </w:pPr>
      <w:r>
        <w:rPr>
          <w:rFonts w:hint="eastAsia" w:eastAsia="宋体"/>
          <w:b/>
          <w:bCs/>
          <w:i/>
          <w:iCs/>
          <w:color w:val="000000" w:themeColor="text1"/>
          <w14:textFill>
            <w14:solidFill>
              <w14:schemeClr w14:val="tx1"/>
            </w14:solidFill>
          </w14:textFill>
        </w:rPr>
        <w:t xml:space="preserve">Observation </w:t>
      </w:r>
      <w:r>
        <w:rPr>
          <w:rFonts w:hint="eastAsia" w:eastAsia="宋体"/>
          <w:b/>
          <w:bCs/>
          <w:i/>
          <w:iCs/>
          <w:color w:val="000000" w:themeColor="text1"/>
          <w:lang w:val="en-US" w:eastAsia="zh-CN"/>
          <w14:textFill>
            <w14:solidFill>
              <w14:schemeClr w14:val="tx1"/>
            </w14:solidFill>
          </w14:textFill>
        </w:rPr>
        <w:t>13</w:t>
      </w:r>
      <w:r>
        <w:rPr>
          <w:rFonts w:hint="eastAsia" w:eastAsia="宋体"/>
          <w:b/>
          <w:bCs/>
          <w:i/>
          <w:iCs/>
          <w:color w:val="000000" w:themeColor="text1"/>
          <w14:textFill>
            <w14:solidFill>
              <w14:schemeClr w14:val="tx1"/>
            </w14:solidFill>
          </w14:textFill>
        </w:rPr>
        <w:t xml:space="preserve">: </w:t>
      </w:r>
      <w:r>
        <w:rPr>
          <w:rFonts w:hint="eastAsia" w:eastAsia="宋体"/>
          <w:i/>
          <w:iCs/>
          <w:color w:val="000000" w:themeColor="text1"/>
          <w14:textFill>
            <w14:solidFill>
              <w14:schemeClr w14:val="tx1"/>
            </w14:solidFill>
          </w14:textFill>
        </w:rPr>
        <w:t xml:space="preserve">For the definition of </w:t>
      </w:r>
      <w:r>
        <w:rPr>
          <w:i/>
          <w:iCs/>
          <w:color w:val="000000" w:themeColor="text1"/>
          <w14:textFill>
            <w14:solidFill>
              <w14:schemeClr w14:val="tx1"/>
            </w14:solidFill>
          </w14:textFill>
        </w:rPr>
        <w:t>KPI</w:t>
      </w:r>
      <w:r>
        <w:rPr>
          <w:i/>
          <w:iCs/>
          <w:color w:val="000000" w:themeColor="text1"/>
          <w:vertAlign w:val="subscript"/>
          <w14:textFill>
            <w14:solidFill>
              <w14:schemeClr w14:val="tx1"/>
            </w14:solidFill>
          </w14:textFill>
        </w:rPr>
        <w:t>Diff</w:t>
      </w:r>
      <w:r>
        <w:rPr>
          <w:i/>
          <w:iCs/>
          <w:color w:val="000000" w:themeColor="text1"/>
          <w14:textFill>
            <w14:solidFill>
              <w14:schemeClr w14:val="tx1"/>
            </w14:solidFill>
          </w14:textFill>
        </w:rPr>
        <w:t xml:space="preserve"> </w:t>
      </w:r>
      <w:r>
        <w:rPr>
          <w:rFonts w:hint="eastAsia" w:eastAsia="宋体"/>
          <w:i/>
          <w:iCs/>
          <w:color w:val="000000" w:themeColor="text1"/>
          <w14:textFill>
            <w14:solidFill>
              <w14:schemeClr w14:val="tx1"/>
            </w14:solidFill>
          </w14:textFill>
        </w:rPr>
        <w:t xml:space="preserve">defined in TR 38.843, </w:t>
      </w:r>
      <w:r>
        <w:rPr>
          <w:i/>
          <w:iCs/>
          <w:color w:val="000000" w:themeColor="text1"/>
          <w14:textFill>
            <w14:solidFill>
              <w14:schemeClr w14:val="tx1"/>
            </w14:solidFill>
          </w14:textFill>
        </w:rPr>
        <w:t>KPI</w:t>
      </w:r>
      <w:r>
        <w:rPr>
          <w:i/>
          <w:iCs/>
          <w:color w:val="000000" w:themeColor="text1"/>
          <w:vertAlign w:val="subscript"/>
          <w14:textFill>
            <w14:solidFill>
              <w14:schemeClr w14:val="tx1"/>
            </w14:solidFill>
          </w14:textFill>
        </w:rPr>
        <w:t>Diff</w:t>
      </w:r>
      <w:r>
        <w:rPr>
          <w:i/>
          <w:iCs/>
          <w:color w:val="000000" w:themeColor="text1"/>
          <w14:textFill>
            <w14:solidFill>
              <w14:schemeClr w14:val="tx1"/>
            </w14:solidFill>
          </w14:textFill>
        </w:rPr>
        <w:t xml:space="preserve"> = (KPI</w:t>
      </w:r>
      <w:r>
        <w:rPr>
          <w:i/>
          <w:iCs/>
          <w:color w:val="000000" w:themeColor="text1"/>
          <w:vertAlign w:val="subscript"/>
          <w14:textFill>
            <w14:solidFill>
              <w14:schemeClr w14:val="tx1"/>
            </w14:solidFill>
          </w14:textFill>
        </w:rPr>
        <w:t>Actual</w:t>
      </w:r>
      <w:r>
        <w:rPr>
          <w:i/>
          <w:iCs/>
          <w:color w:val="000000" w:themeColor="text1"/>
          <w14:textFill>
            <w14:solidFill>
              <w14:schemeClr w14:val="tx1"/>
            </w14:solidFill>
          </w14:textFill>
        </w:rPr>
        <w:t xml:space="preserve"> &gt; KPI</w:t>
      </w:r>
      <w:r>
        <w:rPr>
          <w:i/>
          <w:iCs/>
          <w:color w:val="000000" w:themeColor="text1"/>
          <w:vertAlign w:val="subscript"/>
          <w14:textFill>
            <w14:solidFill>
              <w14:schemeClr w14:val="tx1"/>
            </w14:solidFill>
          </w14:textFill>
        </w:rPr>
        <w:t>th 2</w:t>
      </w:r>
      <w:r>
        <w:rPr>
          <w:i/>
          <w:iCs/>
          <w:color w:val="000000" w:themeColor="text1"/>
          <w14:textFill>
            <w14:solidFill>
              <w14:schemeClr w14:val="tx1"/>
            </w14:solidFill>
          </w14:textFill>
        </w:rPr>
        <w:t>, KPI</w:t>
      </w:r>
      <w:r>
        <w:rPr>
          <w:i/>
          <w:iCs/>
          <w:color w:val="000000" w:themeColor="text1"/>
          <w:vertAlign w:val="subscript"/>
          <w14:textFill>
            <w14:solidFill>
              <w14:schemeClr w14:val="tx1"/>
            </w14:solidFill>
          </w14:textFill>
        </w:rPr>
        <w:t>Genie</w:t>
      </w:r>
      <w:r>
        <w:rPr>
          <w:i/>
          <w:iCs/>
          <w:color w:val="000000" w:themeColor="text1"/>
          <w14:textFill>
            <w14:solidFill>
              <w14:schemeClr w14:val="tx1"/>
            </w14:solidFill>
          </w14:textFill>
        </w:rPr>
        <w:t xml:space="preserve"> &lt; KPI</w:t>
      </w:r>
      <w:r>
        <w:rPr>
          <w:i/>
          <w:iCs/>
          <w:color w:val="000000" w:themeColor="text1"/>
          <w:vertAlign w:val="subscript"/>
          <w14:textFill>
            <w14:solidFill>
              <w14:schemeClr w14:val="tx1"/>
            </w14:solidFill>
          </w14:textFill>
        </w:rPr>
        <w:t>th 3</w:t>
      </w:r>
      <w:r>
        <w:rPr>
          <w:i/>
          <w:iCs/>
          <w:color w:val="000000" w:themeColor="text1"/>
          <w14:textFill>
            <w14:solidFill>
              <w14:schemeClr w14:val="tx1"/>
            </w14:solidFill>
          </w14:textFill>
        </w:rPr>
        <w:t>)</w:t>
      </w:r>
      <w:r>
        <w:rPr>
          <w:rFonts w:hint="eastAsia" w:eastAsia="宋体"/>
          <w:i/>
          <w:iCs/>
          <w:color w:val="000000" w:themeColor="text1"/>
          <w14:textFill>
            <w14:solidFill>
              <w14:schemeClr w14:val="tx1"/>
            </w14:solidFill>
          </w14:textFill>
        </w:rPr>
        <w:t xml:space="preserve"> and </w:t>
      </w:r>
      <w:r>
        <w:rPr>
          <w:i/>
          <w:iCs/>
          <w:color w:val="000000" w:themeColor="text1"/>
          <w14:textFill>
            <w14:solidFill>
              <w14:schemeClr w14:val="tx1"/>
            </w14:solidFill>
          </w14:textFill>
        </w:rPr>
        <w:t>KPI</w:t>
      </w:r>
      <w:r>
        <w:rPr>
          <w:i/>
          <w:iCs/>
          <w:color w:val="000000" w:themeColor="text1"/>
          <w:vertAlign w:val="subscript"/>
          <w14:textFill>
            <w14:solidFill>
              <w14:schemeClr w14:val="tx1"/>
            </w14:solidFill>
          </w14:textFill>
        </w:rPr>
        <w:t>Diff</w:t>
      </w:r>
      <w:r>
        <w:rPr>
          <w:i/>
          <w:iCs/>
          <w:color w:val="000000" w:themeColor="text1"/>
          <w14:textFill>
            <w14:solidFill>
              <w14:schemeClr w14:val="tx1"/>
            </w14:solidFill>
          </w14:textFill>
        </w:rPr>
        <w:t xml:space="preserve"> = (KPI</w:t>
      </w:r>
      <w:r>
        <w:rPr>
          <w:i/>
          <w:iCs/>
          <w:color w:val="000000" w:themeColor="text1"/>
          <w:vertAlign w:val="subscript"/>
          <w14:textFill>
            <w14:solidFill>
              <w14:schemeClr w14:val="tx1"/>
            </w14:solidFill>
          </w14:textFill>
        </w:rPr>
        <w:t>Actual</w:t>
      </w:r>
      <w:r>
        <w:rPr>
          <w:i/>
          <w:iCs/>
          <w:color w:val="000000" w:themeColor="text1"/>
          <w14:textFill>
            <w14:solidFill>
              <w14:schemeClr w14:val="tx1"/>
            </w14:solidFill>
          </w14:textFill>
        </w:rPr>
        <w:t xml:space="preserve"> &lt; KPI</w:t>
      </w:r>
      <w:r>
        <w:rPr>
          <w:i/>
          <w:iCs/>
          <w:color w:val="000000" w:themeColor="text1"/>
          <w:vertAlign w:val="subscript"/>
          <w14:textFill>
            <w14:solidFill>
              <w14:schemeClr w14:val="tx1"/>
            </w14:solidFill>
          </w14:textFill>
        </w:rPr>
        <w:t>th 2</w:t>
      </w:r>
      <w:r>
        <w:rPr>
          <w:i/>
          <w:iCs/>
          <w:color w:val="000000" w:themeColor="text1"/>
          <w14:textFill>
            <w14:solidFill>
              <w14:schemeClr w14:val="tx1"/>
            </w14:solidFill>
          </w14:textFill>
        </w:rPr>
        <w:t>, KPI</w:t>
      </w:r>
      <w:r>
        <w:rPr>
          <w:i/>
          <w:iCs/>
          <w:color w:val="000000" w:themeColor="text1"/>
          <w:vertAlign w:val="subscript"/>
          <w14:textFill>
            <w14:solidFill>
              <w14:schemeClr w14:val="tx1"/>
            </w14:solidFill>
          </w14:textFill>
        </w:rPr>
        <w:t>Genie</w:t>
      </w:r>
      <w:r>
        <w:rPr>
          <w:i/>
          <w:iCs/>
          <w:color w:val="000000" w:themeColor="text1"/>
          <w14:textFill>
            <w14:solidFill>
              <w14:schemeClr w14:val="tx1"/>
            </w14:solidFill>
          </w14:textFill>
        </w:rPr>
        <w:t xml:space="preserve"> &gt; KPI</w:t>
      </w:r>
      <w:r>
        <w:rPr>
          <w:i/>
          <w:iCs/>
          <w:color w:val="000000" w:themeColor="text1"/>
          <w:vertAlign w:val="subscript"/>
          <w14:textFill>
            <w14:solidFill>
              <w14:schemeClr w14:val="tx1"/>
            </w14:solidFill>
          </w14:textFill>
        </w:rPr>
        <w:t>th 3</w:t>
      </w:r>
      <w:r>
        <w:rPr>
          <w:i/>
          <w:iCs/>
          <w:color w:val="000000" w:themeColor="text1"/>
          <w14:textFill>
            <w14:solidFill>
              <w14:schemeClr w14:val="tx1"/>
            </w14:solidFill>
          </w14:textFill>
        </w:rPr>
        <w:t>)</w:t>
      </w:r>
      <w:r>
        <w:rPr>
          <w:rFonts w:hint="eastAsia" w:eastAsia="宋体"/>
          <w:i/>
          <w:iCs/>
          <w:color w:val="000000" w:themeColor="text1"/>
          <w14:textFill>
            <w14:solidFill>
              <w14:schemeClr w14:val="tx1"/>
            </w14:solidFill>
          </w14:textFill>
        </w:rPr>
        <w:t xml:space="preserve"> correspond to the </w:t>
      </w:r>
      <w:r>
        <w:rPr>
          <w:rFonts w:hint="eastAsia" w:eastAsia="宋体"/>
          <w:i/>
          <w:iCs/>
          <w:color w:val="000000" w:themeColor="text1"/>
          <w:szCs w:val="20"/>
          <w14:textFill>
            <w14:solidFill>
              <w14:schemeClr w14:val="tx1"/>
            </w14:solidFill>
          </w14:textFill>
        </w:rPr>
        <w:t>missed detection probability and false alarm probability, respectively.</w:t>
      </w:r>
    </w:p>
    <w:p>
      <w:pPr>
        <w:tabs>
          <w:tab w:val="left" w:pos="990"/>
        </w:tabs>
        <w:adjustRightInd w:val="0"/>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 xml:space="preserve">According to the </w:t>
      </w:r>
      <w:r>
        <w:rPr>
          <w:rFonts w:hint="eastAsia" w:eastAsia="宋体"/>
          <w:color w:val="000000" w:themeColor="text1"/>
          <w:szCs w:val="20"/>
          <w14:textFill>
            <w14:solidFill>
              <w14:schemeClr w14:val="tx1"/>
            </w14:solidFill>
          </w14:textFill>
        </w:rPr>
        <w:t>above</w:t>
      </w:r>
      <w:r>
        <w:rPr>
          <w:rFonts w:eastAsia="宋体"/>
          <w:color w:val="000000" w:themeColor="text1"/>
          <w:szCs w:val="20"/>
          <w14:textFill>
            <w14:solidFill>
              <w14:schemeClr w14:val="tx1"/>
            </w14:solidFill>
          </w14:textFill>
        </w:rPr>
        <w:t xml:space="preserve"> evaluation methodology of performance monitoring in TR38.843, the monitoring KPI is defined to evaluate the case of </w:t>
      </w:r>
      <w:r>
        <w:rPr>
          <w:rFonts w:hint="eastAsia" w:eastAsia="宋体"/>
          <w:color w:val="000000" w:themeColor="text1"/>
          <w:szCs w:val="20"/>
          <w14:textFill>
            <w14:solidFill>
              <w14:schemeClr w14:val="tx1"/>
            </w14:solidFill>
          </w14:textFill>
        </w:rPr>
        <w:t>r</w:t>
      </w:r>
      <w:r>
        <w:rPr>
          <w:rFonts w:eastAsia="宋体"/>
          <w:color w:val="000000" w:themeColor="text1"/>
          <w:szCs w:val="20"/>
          <w14:textFill>
            <w14:solidFill>
              <w14:schemeClr w14:val="tx1"/>
            </w14:solidFill>
          </w14:textFill>
        </w:rPr>
        <w:t xml:space="preserve">ank 1 in Rel-18 study. However, the majority of companies provided the SLS results for rank&gt;1, e.g., </w:t>
      </w:r>
      <w:r>
        <w:rPr>
          <w:rFonts w:hint="eastAsia" w:eastAsia="宋体"/>
          <w:color w:val="000000" w:themeColor="text1"/>
          <w:szCs w:val="20"/>
          <w14:textFill>
            <w14:solidFill>
              <w14:schemeClr w14:val="tx1"/>
            </w14:solidFill>
          </w14:textFill>
        </w:rPr>
        <w:t>r</w:t>
      </w:r>
      <w:r>
        <w:rPr>
          <w:rFonts w:eastAsia="宋体"/>
          <w:color w:val="000000" w:themeColor="text1"/>
          <w:szCs w:val="20"/>
          <w14:textFill>
            <w14:solidFill>
              <w14:schemeClr w14:val="tx1"/>
            </w14:solidFill>
          </w14:textFill>
        </w:rPr>
        <w:t>ank 2. In addition, CSI feedback for rank&gt;1 is common in MU scheduling in the real communication system. Therefore, it is essential to study a set of appropriate monitoring methodology and reasonable monitoring metrics for the given KPI under rank&gt;1.</w:t>
      </w:r>
    </w:p>
    <w:p>
      <w:pPr>
        <w:pStyle w:val="147"/>
        <w:snapToGrid w:val="0"/>
        <w:spacing w:before="72" w:after="72"/>
        <w:jc w:val="both"/>
        <w:rPr>
          <w:b w:val="0"/>
          <w:color w:val="000000" w:themeColor="text1"/>
          <w:szCs w:val="20"/>
          <w:lang w:val="en-US"/>
          <w14:textFill>
            <w14:solidFill>
              <w14:schemeClr w14:val="tx1"/>
            </w14:solidFill>
          </w14:textFill>
        </w:rPr>
      </w:pPr>
      <w:bookmarkStart w:id="25" w:name="_Hlk178349697"/>
      <w:r>
        <w:rPr>
          <w:rFonts w:hint="eastAsia"/>
          <w:b w:val="0"/>
          <w:color w:val="000000" w:themeColor="text1"/>
          <w:szCs w:val="20"/>
          <w:lang w:val="en-US"/>
          <w14:textFill>
            <w14:solidFill>
              <w14:schemeClr w14:val="tx1"/>
            </w14:solidFill>
          </w14:textFill>
        </w:rPr>
        <w:t>In CSI compression using two-sided model use case, further study a set of appropriate monitoring methodology and reasonable monitoring metrics for the given KPI under rank&gt;1.</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p>
      <w:pPr>
        <w:numPr>
          <w:ilvl w:val="1"/>
          <w:numId w:val="10"/>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S</w:t>
      </w:r>
      <w:r>
        <w:rPr>
          <w:rFonts w:hint="eastAsia"/>
          <w:b/>
          <w:color w:val="000000" w:themeColor="text1"/>
          <w:sz w:val="22"/>
          <w14:textFill>
            <w14:solidFill>
              <w14:schemeClr w14:val="tx1"/>
            </w14:solidFill>
          </w14:textFill>
        </w:rPr>
        <w:t>pecification impacts of Case 3</w:t>
      </w: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Training data collection options for Case 3</w:t>
      </w:r>
    </w:p>
    <w:p>
      <w:pPr>
        <w:tabs>
          <w:tab w:val="left" w:pos="990"/>
        </w:tabs>
        <w:adjustRightInd w:val="0"/>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hint="eastAsia" w:eastAsia="宋体"/>
          <w:color w:val="000000" w:themeColor="text1"/>
          <w:szCs w:val="20"/>
          <w14:textFill>
            <w14:solidFill>
              <w14:schemeClr w14:val="tx1"/>
            </w14:solidFill>
          </w14:textFill>
        </w:rPr>
        <w:t>In RAN1#119 meeting, two options of training label were agreed for further study for data collection of Case 3. Besides, potential down-selection of the two options was discussed in RAN1#120 meeting as shown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46"/>
              <w:snapToGrid w:val="0"/>
              <w:spacing w:before="72" w:beforeLines="30" w:after="72" w:afterLines="30" w:line="288" w:lineRule="auto"/>
              <w:ind w:left="0" w:firstLine="0"/>
              <w:rPr>
                <w:rFonts w:eastAsia="宋体"/>
                <w:b/>
                <w:bCs/>
                <w:color w:val="000000" w:themeColor="text1"/>
                <w:lang w:val="en-US" w:eastAsia="zh-CN"/>
                <w14:textFill>
                  <w14:solidFill>
                    <w14:schemeClr w14:val="tx1"/>
                  </w14:solidFill>
                </w14:textFill>
              </w:rPr>
            </w:pPr>
            <w:r>
              <w:rPr>
                <w:rFonts w:eastAsia="宋体"/>
                <w:b/>
                <w:bCs/>
                <w:color w:val="000000" w:themeColor="text1"/>
                <w:lang w:val="en-US" w:eastAsia="zh-CN"/>
                <w14:textFill>
                  <w14:solidFill>
                    <w14:schemeClr w14:val="tx1"/>
                  </w14:solidFill>
                </w14:textFill>
              </w:rPr>
              <w:t>Proposal</w:t>
            </w:r>
          </w:p>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For temporal domain aspects Case 3, regarding training data collection Option 1 and Option 2, the following observations are made:</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3"/>
              <w:gridCol w:w="3508"/>
              <w:gridCol w:w="3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numPr>
                      <w:ilvl w:val="0"/>
                      <w:numId w:val="24"/>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Option 1: The target CSI for training is derived based on the predicted CSI of the future slot(s).</w:t>
                  </w:r>
                </w:p>
                <w:p>
                  <w:pPr>
                    <w:numPr>
                      <w:ilvl w:val="0"/>
                      <w:numId w:val="24"/>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Option 2: The target CSI for training is derived based on the measured CSI of the future slot(s).</w:t>
                  </w:r>
                </w:p>
                <w:p>
                  <w:pPr>
                    <w:numPr>
                      <w:ilvl w:val="0"/>
                      <w:numId w:val="24"/>
                    </w:numPr>
                    <w:overflowPunct w:val="0"/>
                    <w:autoSpaceDE w:val="0"/>
                    <w:autoSpaceDN w:val="0"/>
                    <w:adjustRightInd w:val="0"/>
                    <w:snapToGrid w:val="0"/>
                    <w:spacing w:before="72" w:beforeLines="30" w:after="72" w:afterLines="30" w:line="288" w:lineRule="auto"/>
                    <w:ind w:left="363" w:hanging="363"/>
                    <w:jc w:val="both"/>
                    <w:textAlignment w:val="baseline"/>
                    <w:rPr>
                      <w:rFonts w:eastAsia="Batang"/>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Note: During inference, the input to the CSI generation part is derived based on the predicted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p>
              </w:tc>
              <w:tc>
                <w:tcPr>
                  <w:tcW w:w="1876"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Option 1</w:t>
                  </w:r>
                </w:p>
              </w:tc>
              <w:tc>
                <w:tcPr>
                  <w:tcW w:w="2067"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Target CSI availability</w:t>
                  </w:r>
                </w:p>
              </w:tc>
              <w:tc>
                <w:tcPr>
                  <w:tcW w:w="1876"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Target CSI is not available at UE if UE implements a single AI/ML model for joint prediction and compression.</w:t>
                  </w:r>
                </w:p>
              </w:tc>
              <w:tc>
                <w:tcPr>
                  <w:tcW w:w="2067"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Target CSI is available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Consistency between training and inference</w:t>
                  </w:r>
                </w:p>
              </w:tc>
              <w:tc>
                <w:tcPr>
                  <w:tcW w:w="1876"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Consistent</w:t>
                  </w:r>
                </w:p>
              </w:tc>
              <w:tc>
                <w:tcPr>
                  <w:tcW w:w="2067"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Inconsistent.</w:t>
                  </w:r>
                </w:p>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Performance degradation should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Overhead</w:t>
                  </w:r>
                </w:p>
              </w:tc>
              <w:tc>
                <w:tcPr>
                  <w:tcW w:w="1876"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Separate data collection is needed separate from Case 0.</w:t>
                  </w:r>
                </w:p>
              </w:tc>
              <w:tc>
                <w:tcPr>
                  <w:tcW w:w="2067" w:type="pct"/>
                </w:tcPr>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Data collection from Case 0 can be reused.</w:t>
                  </w:r>
                </w:p>
              </w:tc>
            </w:tr>
          </w:tbl>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tc>
      </w:tr>
    </w:tbl>
    <w:p>
      <w:pPr>
        <w:tabs>
          <w:tab w:val="left" w:pos="990"/>
        </w:tabs>
        <w:adjustRightInd w:val="0"/>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Compared with the distorted training label (i.e., predicted CSI of the future slot(s)) used in Option 1, the precision and reliability of the training label (measured CSI of the future slot(s)) in Option 2 is higher</w:t>
      </w:r>
      <w:r>
        <w:rPr>
          <w:rFonts w:hint="eastAsia" w:eastAsia="宋体"/>
          <w:color w:val="000000" w:themeColor="text1"/>
          <w:szCs w:val="20"/>
          <w14:textFill>
            <w14:solidFill>
              <w14:schemeClr w14:val="tx1"/>
            </w14:solidFill>
          </w14:textFill>
        </w:rPr>
        <w:t>. There is no error propagation issue for Option 2 and</w:t>
      </w:r>
      <w:r>
        <w:rPr>
          <w:rFonts w:eastAsia="宋体"/>
          <w:color w:val="000000" w:themeColor="text1"/>
          <w:szCs w:val="20"/>
          <w14:textFill>
            <w14:solidFill>
              <w14:schemeClr w14:val="tx1"/>
            </w14:solidFill>
          </w14:textFill>
        </w:rPr>
        <w:t xml:space="preserve"> thus better performance is expected to be achieved. For the consistency between training and inference, we think it should not be a big issue. Given that the predicted CSI and measured CSI should </w:t>
      </w:r>
      <w:r>
        <w:rPr>
          <w:rFonts w:hint="eastAsia" w:eastAsia="宋体"/>
          <w:color w:val="000000" w:themeColor="text1"/>
          <w:szCs w:val="20"/>
          <w14:textFill>
            <w14:solidFill>
              <w14:schemeClr w14:val="tx1"/>
            </w14:solidFill>
          </w14:textFill>
        </w:rPr>
        <w:t xml:space="preserve">have </w:t>
      </w:r>
      <w:r>
        <w:rPr>
          <w:rFonts w:eastAsia="宋体"/>
          <w:color w:val="000000" w:themeColor="text1"/>
          <w:szCs w:val="20"/>
          <w14:textFill>
            <w14:solidFill>
              <w14:schemeClr w14:val="tx1"/>
            </w14:solidFill>
          </w14:textFill>
        </w:rPr>
        <w:t xml:space="preserve">quite similar </w:t>
      </w:r>
      <w:r>
        <w:rPr>
          <w:rFonts w:hint="eastAsia" w:eastAsia="宋体"/>
          <w:color w:val="000000" w:themeColor="text1"/>
          <w:szCs w:val="20"/>
          <w14:textFill>
            <w14:solidFill>
              <w14:schemeClr w14:val="tx1"/>
            </w14:solidFill>
          </w14:textFill>
        </w:rPr>
        <w:t xml:space="preserve">data distribution </w:t>
      </w:r>
      <w:r>
        <w:rPr>
          <w:rFonts w:eastAsia="宋体"/>
          <w:color w:val="000000" w:themeColor="text1"/>
          <w:szCs w:val="20"/>
          <w14:textFill>
            <w14:solidFill>
              <w14:schemeClr w14:val="tx1"/>
            </w14:solidFill>
          </w14:textFill>
        </w:rPr>
        <w:t xml:space="preserve">with a well-trained CSI prediction </w:t>
      </w:r>
      <w:r>
        <w:rPr>
          <w:rFonts w:hint="eastAsia" w:eastAsia="宋体"/>
          <w:color w:val="000000" w:themeColor="text1"/>
          <w:szCs w:val="20"/>
          <w14:textFill>
            <w14:solidFill>
              <w14:schemeClr w14:val="tx1"/>
            </w14:solidFill>
          </w14:textFill>
        </w:rPr>
        <w:t>model</w:t>
      </w:r>
      <w:r>
        <w:rPr>
          <w:rFonts w:eastAsia="宋体"/>
          <w:color w:val="000000" w:themeColor="text1"/>
          <w:szCs w:val="20"/>
          <w14:textFill>
            <w14:solidFill>
              <w14:schemeClr w14:val="tx1"/>
            </w14:solidFill>
          </w14:textFill>
        </w:rPr>
        <w:t>, there would be only marginal performance difference between the two options</w:t>
      </w:r>
      <w:r>
        <w:rPr>
          <w:rFonts w:hint="eastAsia" w:eastAsia="宋体"/>
          <w:color w:val="000000" w:themeColor="text1"/>
          <w:szCs w:val="20"/>
          <w14:textFill>
            <w14:solidFill>
              <w14:schemeClr w14:val="tx1"/>
            </w14:solidFill>
          </w14:textFill>
        </w:rPr>
        <w:t xml:space="preserve"> caused by the data distribution mismatch across training and inference</w:t>
      </w:r>
      <w:r>
        <w:rPr>
          <w:rFonts w:eastAsia="宋体"/>
          <w:color w:val="000000" w:themeColor="text1"/>
          <w:szCs w:val="20"/>
          <w14:textFill>
            <w14:solidFill>
              <w14:schemeClr w14:val="tx1"/>
            </w14:solidFill>
          </w14:textFill>
        </w:rPr>
        <w:t xml:space="preserve">. Additionally, the down-selection between the two options is also dependent on whether the LCM aspects of CSI prediction model is managed by the network. If </w:t>
      </w:r>
      <w:r>
        <w:rPr>
          <w:rFonts w:hint="eastAsia" w:eastAsia="宋体"/>
          <w:color w:val="000000" w:themeColor="text1"/>
          <w:szCs w:val="20"/>
          <w14:textFill>
            <w14:solidFill>
              <w14:schemeClr w14:val="tx1"/>
            </w14:solidFill>
          </w14:textFill>
        </w:rPr>
        <w:t xml:space="preserve">the </w:t>
      </w:r>
      <w:r>
        <w:rPr>
          <w:rFonts w:eastAsia="宋体"/>
          <w:color w:val="000000" w:themeColor="text1"/>
          <w:szCs w:val="20"/>
          <w14:textFill>
            <w14:solidFill>
              <w14:schemeClr w14:val="tx1"/>
            </w14:solidFill>
          </w14:textFill>
        </w:rPr>
        <w:t xml:space="preserve">CSI prediction model is transparent to the network, both predicted CSI and measured CSI are just the CSI information obtained by UE implementations, and there is no necessity to further </w:t>
      </w:r>
      <w:r>
        <w:rPr>
          <w:rFonts w:hint="eastAsia" w:eastAsia="宋体"/>
          <w:color w:val="000000" w:themeColor="text1"/>
          <w:szCs w:val="20"/>
          <w14:textFill>
            <w14:solidFill>
              <w14:schemeClr w14:val="tx1"/>
            </w14:solidFill>
          </w14:textFill>
        </w:rPr>
        <w:t>differentiate</w:t>
      </w:r>
      <w:r>
        <w:rPr>
          <w:rFonts w:eastAsia="宋体"/>
          <w:color w:val="000000" w:themeColor="text1"/>
          <w:szCs w:val="20"/>
          <w14:textFill>
            <w14:solidFill>
              <w14:schemeClr w14:val="tx1"/>
            </w14:solidFill>
          </w14:textFill>
        </w:rPr>
        <w:t xml:space="preserve"> the two options.</w:t>
      </w:r>
    </w:p>
    <w:p>
      <w:pPr>
        <w:pStyle w:val="147"/>
        <w:snapToGrid w:val="0"/>
        <w:spacing w:before="72" w:after="72"/>
        <w:jc w:val="both"/>
        <w:rPr>
          <w:b w:val="0"/>
          <w:color w:val="000000" w:themeColor="text1"/>
          <w:szCs w:val="20"/>
          <w:lang w:val="en-US"/>
          <w14:textFill>
            <w14:solidFill>
              <w14:schemeClr w14:val="tx1"/>
            </w14:solidFill>
          </w14:textFill>
        </w:rPr>
      </w:pPr>
      <w:r>
        <w:rPr>
          <w:b w:val="0"/>
          <w:color w:val="000000" w:themeColor="text1"/>
          <w:szCs w:val="20"/>
          <w:lang w:val="en-US"/>
          <w14:textFill>
            <w14:solidFill>
              <w14:schemeClr w14:val="tx1"/>
            </w14:solidFill>
          </w14:textFill>
        </w:rPr>
        <w:t xml:space="preserve">Regarding training data collection for temporal domain aspects Case 3, </w:t>
      </w:r>
      <w:r>
        <w:rPr>
          <w:rFonts w:hint="eastAsia"/>
          <w:b w:val="0"/>
          <w:color w:val="000000" w:themeColor="text1"/>
          <w:szCs w:val="20"/>
          <w:lang w:val="en-US"/>
          <w14:textFill>
            <w14:solidFill>
              <w14:schemeClr w14:val="tx1"/>
            </w14:solidFill>
          </w14:textFill>
        </w:rPr>
        <w:t>prioritize</w:t>
      </w:r>
      <w:r>
        <w:rPr>
          <w:b w:val="0"/>
          <w:color w:val="000000" w:themeColor="text1"/>
          <w:szCs w:val="20"/>
          <w:lang w:val="en-US"/>
          <w14:textFill>
            <w14:solidFill>
              <w14:schemeClr w14:val="tx1"/>
            </w14:solidFill>
          </w14:textFill>
        </w:rPr>
        <w:t xml:space="preserve"> Option 2</w:t>
      </w:r>
      <w:r>
        <w:rPr>
          <w:rFonts w:hint="eastAsia"/>
          <w:b w:val="0"/>
          <w:color w:val="000000" w:themeColor="text1"/>
          <w:szCs w:val="20"/>
          <w:lang w:val="en-US"/>
          <w14:textFill>
            <w14:solidFill>
              <w14:schemeClr w14:val="tx1"/>
            </w14:solidFill>
          </w14:textFill>
        </w:rPr>
        <w:t xml:space="preserve"> (i.e., t</w:t>
      </w:r>
      <w:r>
        <w:rPr>
          <w:b w:val="0"/>
          <w:color w:val="000000" w:themeColor="text1"/>
          <w:szCs w:val="20"/>
          <w:lang w:val="en-US"/>
          <w14:textFill>
            <w14:solidFill>
              <w14:schemeClr w14:val="tx1"/>
            </w14:solidFill>
          </w14:textFill>
        </w:rPr>
        <w:t>he target CSI for training is derived based on the measured CSI of the future slot(s)</w:t>
      </w:r>
      <w:r>
        <w:rPr>
          <w:rFonts w:hint="eastAsia"/>
          <w:b w:val="0"/>
          <w:color w:val="000000" w:themeColor="text1"/>
          <w:szCs w:val="20"/>
          <w:lang w:val="en-US"/>
          <w14:textFill>
            <w14:solidFill>
              <w14:schemeClr w14:val="tx1"/>
            </w14:solidFill>
          </w14:textFill>
        </w:rPr>
        <w:t>) due to its reduced data collection overhead and potentially higher CSI compression performance.</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p>
      <w:pPr>
        <w:numPr>
          <w:ilvl w:val="0"/>
          <w:numId w:val="2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Monitoring </w:t>
      </w:r>
      <w:r>
        <w:rPr>
          <w:rFonts w:hint="eastAsia"/>
          <w:color w:val="000000" w:themeColor="text1"/>
          <w14:textFill>
            <w14:solidFill>
              <w14:schemeClr w14:val="tx1"/>
            </w14:solidFill>
          </w14:textFill>
        </w:rPr>
        <w:t>data collection options for Case 3</w:t>
      </w:r>
    </w:p>
    <w:p>
      <w:pPr>
        <w:pStyle w:val="147"/>
        <w:numPr>
          <w:ilvl w:val="0"/>
          <w:numId w:val="0"/>
        </w:numPr>
        <w:snapToGrid w:val="0"/>
        <w:spacing w:before="72" w:after="72"/>
        <w:jc w:val="both"/>
        <w:rPr>
          <w:rFonts w:eastAsia="宋体" w:cs="Times New Roman"/>
          <w:b w:val="0"/>
          <w:bCs w:val="0"/>
          <w:i w:val="0"/>
          <w:iCs w:val="0"/>
          <w:color w:val="000000" w:themeColor="text1"/>
          <w:szCs w:val="20"/>
          <w:lang w:val="en-US"/>
          <w14:textFill>
            <w14:solidFill>
              <w14:schemeClr w14:val="tx1"/>
            </w14:solidFill>
          </w14:textFill>
        </w:rPr>
      </w:pPr>
      <w:r>
        <w:rPr>
          <w:rFonts w:hint="eastAsia" w:eastAsia="宋体" w:cs="Times New Roman"/>
          <w:b w:val="0"/>
          <w:bCs w:val="0"/>
          <w:i w:val="0"/>
          <w:iCs w:val="0"/>
          <w:color w:val="000000" w:themeColor="text1"/>
          <w:szCs w:val="20"/>
          <w:lang w:val="en-US"/>
          <w14:textFill>
            <w14:solidFill>
              <w14:schemeClr w14:val="tx1"/>
            </w14:solidFill>
          </w14:textFill>
        </w:rPr>
        <w:t>In RAN1#120 meeting, the pros and cons of different monitoring label options for temporal domain aspects Case 3 were summarized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46"/>
              <w:snapToGrid w:val="0"/>
              <w:spacing w:before="72" w:beforeLines="30" w:after="72" w:afterLines="30" w:line="288" w:lineRule="auto"/>
              <w:ind w:left="0" w:firstLine="0"/>
              <w:rPr>
                <w:rFonts w:eastAsia="宋体"/>
                <w:b/>
                <w:bCs/>
                <w:color w:val="000000" w:themeColor="text1"/>
                <w:lang w:val="en-US" w:eastAsia="zh-CN"/>
                <w14:textFill>
                  <w14:solidFill>
                    <w14:schemeClr w14:val="tx1"/>
                  </w14:solidFill>
                </w14:textFill>
              </w:rPr>
            </w:pPr>
            <w:r>
              <w:rPr>
                <w:rFonts w:eastAsia="宋体"/>
                <w:b/>
                <w:bCs/>
                <w:color w:val="000000" w:themeColor="text1"/>
                <w:lang w:val="en-US" w:eastAsia="zh-CN"/>
                <w14:textFill>
                  <w14:solidFill>
                    <w14:schemeClr w14:val="tx1"/>
                  </w14:solidFill>
                </w14:textFill>
              </w:rPr>
              <w:t>Proposal</w:t>
            </w:r>
          </w:p>
          <w:p>
            <w:pPr>
              <w:snapToGrid w:val="0"/>
              <w:spacing w:before="72" w:beforeLines="30" w:after="72" w:afterLines="30" w:line="288" w:lineRule="auto"/>
              <w:rPr>
                <w:rFonts w:eastAsia="Batang"/>
                <w:color w:val="000000" w:themeColor="text1"/>
                <w:szCs w:val="20"/>
                <w:lang w:val="en-GB"/>
                <w14:textFill>
                  <w14:solidFill>
                    <w14:schemeClr w14:val="tx1"/>
                  </w14:solidFill>
                </w14:textFill>
              </w:rPr>
            </w:pPr>
            <w:r>
              <w:rPr>
                <w:rFonts w:eastAsia="Batang"/>
                <w:color w:val="000000" w:themeColor="text1"/>
                <w:szCs w:val="20"/>
                <w:lang w:val="en-GB"/>
                <w14:textFill>
                  <w14:solidFill>
                    <w14:schemeClr w14:val="tx1"/>
                  </w14:solidFill>
                </w14:textFill>
              </w:rPr>
              <w:t>For temporal domain aspects Case 3, regarding the monitoring labels Option 1, Option 2a, and Option 2b, the following observations are made:</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2758"/>
              <w:gridCol w:w="2691"/>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numPr>
                      <w:ilvl w:val="0"/>
                      <w:numId w:val="24"/>
                    </w:numPr>
                    <w:adjustRightInd w:val="0"/>
                    <w:snapToGrid w:val="0"/>
                    <w:spacing w:before="72" w:beforeLines="30" w:after="72" w:afterLines="30" w:line="288" w:lineRule="auto"/>
                    <w:jc w:val="both"/>
                    <w:rPr>
                      <w:rFonts w:eastAsia="Times New Roman"/>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Option 1: The monitoring label is derived based on the predicted CSI of the future slot(s).</w:t>
                  </w:r>
                </w:p>
                <w:p>
                  <w:pPr>
                    <w:numPr>
                      <w:ilvl w:val="1"/>
                      <w:numId w:val="24"/>
                    </w:numPr>
                    <w:overflowPunct w:val="0"/>
                    <w:autoSpaceDE w:val="0"/>
                    <w:autoSpaceDN w:val="0"/>
                    <w:adjustRightInd w:val="0"/>
                    <w:snapToGrid w:val="0"/>
                    <w:spacing w:before="72" w:beforeLines="30" w:after="72" w:afterLines="30" w:line="288" w:lineRule="auto"/>
                    <w:ind w:left="783" w:hanging="363"/>
                    <w:textAlignment w:val="baseline"/>
                    <w:rPr>
                      <w:rFonts w:eastAsia="Times New Roman"/>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CSI prediction output is used as input to CSI generation part.</w:t>
                  </w:r>
                </w:p>
                <w:p>
                  <w:pPr>
                    <w:numPr>
                      <w:ilvl w:val="1"/>
                      <w:numId w:val="24"/>
                    </w:numPr>
                    <w:overflowPunct w:val="0"/>
                    <w:autoSpaceDE w:val="0"/>
                    <w:autoSpaceDN w:val="0"/>
                    <w:adjustRightInd w:val="0"/>
                    <w:snapToGrid w:val="0"/>
                    <w:spacing w:before="72" w:beforeLines="30" w:after="72" w:afterLines="30" w:line="288" w:lineRule="auto"/>
                    <w:ind w:left="783" w:hanging="363"/>
                    <w:textAlignment w:val="baseline"/>
                    <w:rPr>
                      <w:rFonts w:eastAsia="Times New Roman"/>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Note: This corresponds to monitoring of CSI compression only. CSI prediction may be monitored separately.</w:t>
                  </w:r>
                </w:p>
                <w:p>
                  <w:pPr>
                    <w:numPr>
                      <w:ilvl w:val="0"/>
                      <w:numId w:val="24"/>
                    </w:numPr>
                    <w:adjustRightInd w:val="0"/>
                    <w:snapToGrid w:val="0"/>
                    <w:spacing w:before="72" w:beforeLines="30" w:after="72" w:afterLines="30" w:line="288" w:lineRule="auto"/>
                    <w:jc w:val="both"/>
                    <w:rPr>
                      <w:rFonts w:eastAsia="Times New Roman"/>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Option 2: The monitoring label is derived based on the measured CSI of the future slot(s)</w:t>
                  </w:r>
                </w:p>
                <w:p>
                  <w:pPr>
                    <w:numPr>
                      <w:ilvl w:val="1"/>
                      <w:numId w:val="24"/>
                    </w:numPr>
                    <w:overflowPunct w:val="0"/>
                    <w:autoSpaceDE w:val="0"/>
                    <w:autoSpaceDN w:val="0"/>
                    <w:adjustRightInd w:val="0"/>
                    <w:snapToGrid w:val="0"/>
                    <w:spacing w:before="72" w:beforeLines="30" w:after="72" w:afterLines="30" w:line="288" w:lineRule="auto"/>
                    <w:ind w:left="783" w:hanging="363"/>
                    <w:textAlignment w:val="baseline"/>
                    <w:rPr>
                      <w:rFonts w:eastAsia="Times New Roman"/>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Option 2a: CSI prediction output is used as input to CSI generation part.</w:t>
                  </w:r>
                </w:p>
                <w:p>
                  <w:pPr>
                    <w:numPr>
                      <w:ilvl w:val="2"/>
                      <w:numId w:val="24"/>
                    </w:numPr>
                    <w:overflowPunct w:val="0"/>
                    <w:autoSpaceDE w:val="0"/>
                    <w:autoSpaceDN w:val="0"/>
                    <w:adjustRightInd w:val="0"/>
                    <w:snapToGrid w:val="0"/>
                    <w:spacing w:before="72" w:beforeLines="30" w:after="72" w:afterLines="30" w:line="288" w:lineRule="auto"/>
                    <w:ind w:left="1203" w:hanging="363"/>
                    <w:textAlignment w:val="baseline"/>
                    <w:rPr>
                      <w:rFonts w:eastAsia="Times New Roman"/>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Note: This corresponds to end-to-end monitoring of CSI prediction and compression.</w:t>
                  </w:r>
                </w:p>
                <w:p>
                  <w:pPr>
                    <w:numPr>
                      <w:ilvl w:val="1"/>
                      <w:numId w:val="24"/>
                    </w:numPr>
                    <w:overflowPunct w:val="0"/>
                    <w:autoSpaceDE w:val="0"/>
                    <w:autoSpaceDN w:val="0"/>
                    <w:adjustRightInd w:val="0"/>
                    <w:snapToGrid w:val="0"/>
                    <w:spacing w:before="72" w:beforeLines="30" w:after="72" w:afterLines="30" w:line="288" w:lineRule="auto"/>
                    <w:ind w:left="783" w:hanging="363"/>
                    <w:textAlignment w:val="baseline"/>
                    <w:rPr>
                      <w:rFonts w:eastAsia="Times New Roman"/>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Option 2b: Measured CSI of the future slot(s) is used as input to CSI generation part for monitoring purpose.</w:t>
                  </w:r>
                </w:p>
                <w:p>
                  <w:pPr>
                    <w:numPr>
                      <w:ilvl w:val="0"/>
                      <w:numId w:val="24"/>
                    </w:numPr>
                    <w:adjustRightInd w:val="0"/>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Times New Roman"/>
                      <w:color w:val="000000" w:themeColor="text1"/>
                      <w:szCs w:val="20"/>
                      <w:lang w:val="en-GB"/>
                      <w14:textFill>
                        <w14:solidFill>
                          <w14:schemeClr w14:val="tx1"/>
                        </w14:solidFill>
                      </w14:textFill>
                    </w:rPr>
                    <w:t>Note: This corresponds to monitoring of CSI compression only. CSI prediction may be monitored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p>
              </w:tc>
              <w:tc>
                <w:tcPr>
                  <w:tcW w:w="1475"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Option 1</w:t>
                  </w:r>
                </w:p>
              </w:tc>
              <w:tc>
                <w:tcPr>
                  <w:tcW w:w="1439"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Option 2a</w:t>
                  </w:r>
                </w:p>
              </w:tc>
              <w:tc>
                <w:tcPr>
                  <w:tcW w:w="1317"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Option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Label availability</w:t>
                  </w:r>
                </w:p>
              </w:tc>
              <w:tc>
                <w:tcPr>
                  <w:tcW w:w="1475"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Label is not available at UE if UE implements a single AI/ML model for joint prediction and compression.</w:t>
                  </w:r>
                </w:p>
              </w:tc>
              <w:tc>
                <w:tcPr>
                  <w:tcW w:w="1439"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Label can be obtained at UE by measurement.</w:t>
                  </w:r>
                </w:p>
              </w:tc>
              <w:tc>
                <w:tcPr>
                  <w:tcW w:w="1317"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Label can be obtained at UE by measurement and performing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Complexity</w:t>
                  </w:r>
                </w:p>
              </w:tc>
              <w:tc>
                <w:tcPr>
                  <w:tcW w:w="1475"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No additional inference is needed for monitoring label generation.</w:t>
                  </w:r>
                </w:p>
              </w:tc>
              <w:tc>
                <w:tcPr>
                  <w:tcW w:w="1439"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No additional inference is needed for monitoring label generation.</w:t>
                  </w:r>
                </w:p>
              </w:tc>
              <w:tc>
                <w:tcPr>
                  <w:tcW w:w="1317"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Dedicated inference is required for monitoring, which adds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Latency</w:t>
                  </w:r>
                </w:p>
              </w:tc>
              <w:tc>
                <w:tcPr>
                  <w:tcW w:w="1475"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宋体"/>
                      <w:color w:val="000000" w:themeColor="text1"/>
                      <w:szCs w:val="20"/>
                      <w14:textFill>
                        <w14:solidFill>
                          <w14:schemeClr w14:val="tx1"/>
                        </w14:solidFill>
                      </w14:textFill>
                    </w:rPr>
                    <w:t>Lowest latency among the three options since the predicted future CSI can be reported to the NW immediately with the CSI feedback.</w:t>
                  </w:r>
                </w:p>
              </w:tc>
              <w:tc>
                <w:tcPr>
                  <w:tcW w:w="1439"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宋体"/>
                      <w:color w:val="000000" w:themeColor="text1"/>
                      <w:szCs w:val="20"/>
                      <w14:textFill>
                        <w14:solidFill>
                          <w14:schemeClr w14:val="tx1"/>
                        </w14:solidFill>
                      </w14:textFill>
                    </w:rPr>
                    <w:t>Monitoring metric cannot be calculated until the measured future CSI is obtained by the UE.</w:t>
                  </w:r>
                </w:p>
              </w:tc>
              <w:tc>
                <w:tcPr>
                  <w:tcW w:w="1317"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宋体"/>
                      <w:color w:val="000000" w:themeColor="text1"/>
                      <w:szCs w:val="20"/>
                      <w14:textFill>
                        <w14:solidFill>
                          <w14:schemeClr w14:val="tx1"/>
                        </w14:solidFill>
                      </w14:textFill>
                    </w:rPr>
                    <w:t>Monitoring metric cannot be calculated until the measured future CSI is obtained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000000" w:themeColor="text1"/>
                      <w:szCs w:val="20"/>
                      <w:lang w:val="en-GB"/>
                      <w14:textFill>
                        <w14:solidFill>
                          <w14:schemeClr w14:val="tx1"/>
                        </w14:solidFill>
                      </w14:textFill>
                    </w:rPr>
                  </w:pPr>
                  <w:r>
                    <w:rPr>
                      <w:rFonts w:eastAsia="Malgun Gothic"/>
                      <w:color w:val="000000" w:themeColor="text1"/>
                      <w:szCs w:val="20"/>
                      <w:lang w:val="en-GB"/>
                      <w14:textFill>
                        <w14:solidFill>
                          <w14:schemeClr w14:val="tx1"/>
                        </w14:solidFill>
                      </w14:textFill>
                    </w:rPr>
                    <w:t>Consistency between monitoring and inference</w:t>
                  </w:r>
                </w:p>
              </w:tc>
              <w:tc>
                <w:tcPr>
                  <w:tcW w:w="1475" w:type="pct"/>
                </w:tcPr>
                <w:p>
                  <w:pPr>
                    <w:suppressAutoHyphens/>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Consistent</w:t>
                  </w:r>
                </w:p>
              </w:tc>
              <w:tc>
                <w:tcPr>
                  <w:tcW w:w="1439" w:type="pct"/>
                </w:tcPr>
                <w:p>
                  <w:pPr>
                    <w:suppressAutoHyphens/>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Consistent</w:t>
                  </w:r>
                </w:p>
              </w:tc>
              <w:tc>
                <w:tcPr>
                  <w:tcW w:w="1317" w:type="pct"/>
                </w:tcPr>
                <w:p>
                  <w:pPr>
                    <w:suppressAutoHyphens/>
                    <w:snapToGrid w:val="0"/>
                    <w:spacing w:before="72" w:beforeLines="30" w:after="72" w:afterLines="30" w:line="288" w:lineRule="auto"/>
                    <w:jc w:val="both"/>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Inconsistent</w:t>
                  </w:r>
                </w:p>
              </w:tc>
            </w:tr>
          </w:tbl>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tc>
      </w:tr>
    </w:tbl>
    <w:p>
      <w:pPr>
        <w:pStyle w:val="147"/>
        <w:numPr>
          <w:ilvl w:val="0"/>
          <w:numId w:val="0"/>
        </w:numPr>
        <w:snapToGrid w:val="0"/>
        <w:spacing w:before="72" w:after="72"/>
        <w:jc w:val="both"/>
        <w:rPr>
          <w:rFonts w:eastAsia="宋体" w:cs="Times New Roman"/>
          <w:b w:val="0"/>
          <w:bCs w:val="0"/>
          <w:i w:val="0"/>
          <w:iCs w:val="0"/>
          <w:color w:val="000000" w:themeColor="text1"/>
          <w:szCs w:val="20"/>
          <w:lang w:val="en-US"/>
          <w14:textFill>
            <w14:solidFill>
              <w14:schemeClr w14:val="tx1"/>
            </w14:solidFill>
          </w14:textFill>
        </w:rPr>
      </w:pPr>
      <w:r>
        <w:rPr>
          <w:rFonts w:eastAsia="宋体" w:cs="Times New Roman"/>
          <w:b w:val="0"/>
          <w:bCs w:val="0"/>
          <w:i w:val="0"/>
          <w:iCs w:val="0"/>
          <w:color w:val="000000" w:themeColor="text1"/>
          <w:szCs w:val="20"/>
          <w:lang w:val="en-US"/>
          <w14:textFill>
            <w14:solidFill>
              <w14:schemeClr w14:val="tx1"/>
            </w14:solidFill>
          </w14:textFill>
        </w:rPr>
        <w:t>The down-selection of the three options depends on whether UE implements a single AI/ML model for joint prediction and compression, or two separate A</w:t>
      </w:r>
      <w:bookmarkStart w:id="26" w:name="_GoBack"/>
      <w:bookmarkEnd w:id="26"/>
      <w:r>
        <w:rPr>
          <w:rFonts w:eastAsia="宋体" w:cs="Times New Roman"/>
          <w:b w:val="0"/>
          <w:bCs w:val="0"/>
          <w:i w:val="0"/>
          <w:iCs w:val="0"/>
          <w:color w:val="000000" w:themeColor="text1"/>
          <w:szCs w:val="20"/>
          <w:lang w:val="en-US"/>
          <w14:textFill>
            <w14:solidFill>
              <w14:schemeClr w14:val="tx1"/>
            </w14:solidFill>
          </w14:textFill>
        </w:rPr>
        <w:t>I/ML models for prediction and compression respectively. For joint prediction and compression, there is no necessity to monitor the CSI compression and CSI prediction separately and thus Option 2a should be used which corresponds to end-to-end monitoring of CSI prediction and compression. For separate prediction and compression, given that the CSI prediction is handled by UE solely while the CSI compression includes both parts at the UE and NW, it's better to separately monitor the CSI compression and CSI prediction (if needed) to avoid any further root cause identification issues. Then for the two options (i.e., Option 1, Option 2b) for CSI compression monitoring, there should be no much difference in monitoring accuracy if the measured CSI and predicted CSI of the future slot(s) show similar data distribution. Anyway, Option 1 is slightly preferred due to its lower monitoring complexity and lower monitoring latency as clarified in the above table.</w:t>
      </w:r>
    </w:p>
    <w:p>
      <w:pPr>
        <w:pStyle w:val="147"/>
        <w:snapToGrid w:val="0"/>
        <w:spacing w:before="72" w:after="72"/>
        <w:jc w:val="both"/>
        <w:rPr>
          <w:b w:val="0"/>
          <w:color w:val="000000" w:themeColor="text1"/>
          <w:szCs w:val="20"/>
          <w:lang w:val="en-US"/>
          <w14:textFill>
            <w14:solidFill>
              <w14:schemeClr w14:val="tx1"/>
            </w14:solidFill>
          </w14:textFill>
        </w:rPr>
      </w:pPr>
      <w:r>
        <w:rPr>
          <w:b w:val="0"/>
          <w:color w:val="000000" w:themeColor="text1"/>
          <w:szCs w:val="20"/>
          <w:lang w:val="en-US"/>
          <w14:textFill>
            <w14:solidFill>
              <w14:schemeClr w14:val="tx1"/>
            </w14:solidFill>
          </w14:textFill>
        </w:rPr>
        <w:t>For temporal domain aspects Case 3, prioritize separate prediction and compression, where Option 1 (i.e., the monitoring label is derived based on the predicted CSI of the future slot(s)) is used for monitoring CSI compression only.</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bookmarkEnd w:id="24"/>
    <w:bookmarkEnd w:id="25"/>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color w:val="000000" w:themeColor="text1"/>
          <w:sz w:val="28"/>
          <w:szCs w:val="28"/>
          <w:highlight w:val="none"/>
          <w14:textFill>
            <w14:solidFill>
              <w14:schemeClr w14:val="tx1"/>
            </w14:solidFill>
          </w14:textFill>
        </w:rPr>
      </w:pPr>
      <w:r>
        <w:rPr>
          <w:rFonts w:hint="eastAsia" w:eastAsia="宋体"/>
          <w:b/>
          <w:color w:val="000000" w:themeColor="text1"/>
          <w:sz w:val="28"/>
          <w:szCs w:val="28"/>
          <w:highlight w:val="none"/>
          <w14:textFill>
            <w14:solidFill>
              <w14:schemeClr w14:val="tx1"/>
            </w14:solidFill>
          </w14:textFill>
        </w:rPr>
        <w:t>Conclusion</w:t>
      </w:r>
    </w:p>
    <w:p>
      <w:pPr>
        <w:widowControl w:val="0"/>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 this contribution, we discuss the inter-vendor collaboration issues and some remaining issues in Rel-18. We have the following observations and proposals:</w:t>
      </w:r>
    </w:p>
    <w:p>
      <w:pPr>
        <w:numPr>
          <w:ilvl w:val="255"/>
          <w:numId w:val="0"/>
        </w:numPr>
        <w:adjustRightInd w:val="0"/>
        <w:snapToGrid w:val="0"/>
        <w:spacing w:before="72" w:beforeLines="30" w:after="72" w:afterLines="30" w:line="288" w:lineRule="auto"/>
        <w:jc w:val="center"/>
        <w:rPr>
          <w:rFonts w:eastAsia="宋体"/>
          <w:b/>
          <w:color w:val="000000" w:themeColor="text1"/>
          <w:szCs w:val="20"/>
          <w:u w:val="single"/>
          <w14:textFill>
            <w14:solidFill>
              <w14:schemeClr w14:val="tx1"/>
            </w14:solidFill>
          </w14:textFill>
        </w:rPr>
      </w:pPr>
      <w:r>
        <w:rPr>
          <w:rFonts w:hint="eastAsia" w:eastAsia="宋体"/>
          <w:b/>
          <w:color w:val="000000" w:themeColor="text1"/>
          <w:szCs w:val="20"/>
          <w:u w:val="single"/>
          <w:lang w:val="en-US" w:eastAsia="zh-CN"/>
          <w14:textFill>
            <w14:solidFill>
              <w14:schemeClr w14:val="tx1"/>
            </w14:solidFill>
          </w14:textFill>
        </w:rPr>
        <w:t>Recommendation from RAN1</w:t>
      </w:r>
    </w:p>
    <w:p>
      <w:pPr>
        <w:pStyle w:val="147"/>
        <w:numPr>
          <w:ilvl w:val="0"/>
          <w:numId w:val="0"/>
        </w:numPr>
        <w:snapToGrid w:val="0"/>
        <w:spacing w:before="72" w:after="72"/>
        <w:ind w:leftChars="0"/>
        <w:jc w:val="both"/>
        <w:rPr>
          <w:rFonts w:hint="default"/>
          <w:b w:val="0"/>
          <w:color w:val="000000" w:themeColor="text1"/>
          <w:szCs w:val="20"/>
          <w:lang w:val="en-US" w:eastAsia="zh-CN"/>
          <w14:textFill>
            <w14:solidFill>
              <w14:schemeClr w14:val="tx1"/>
            </w14:solidFill>
          </w14:textFill>
        </w:rPr>
      </w:pPr>
      <w:r>
        <w:rPr>
          <w:rFonts w:hint="eastAsia"/>
          <w:b/>
          <w:bCs w:val="0"/>
          <w:color w:val="000000" w:themeColor="text1"/>
          <w:szCs w:val="20"/>
          <w:lang w:val="en-US" w:eastAsia="zh-CN"/>
          <w14:textFill>
            <w14:solidFill>
              <w14:schemeClr w14:val="tx1"/>
            </w14:solidFill>
          </w14:textFill>
        </w:rPr>
        <w:t>Observation 1:</w:t>
      </w:r>
      <w:r>
        <w:rPr>
          <w:rFonts w:hint="eastAsia"/>
          <w:b w:val="0"/>
          <w:color w:val="000000" w:themeColor="text1"/>
          <w:szCs w:val="20"/>
          <w:lang w:val="en-US" w:eastAsia="zh-CN"/>
          <w14:textFill>
            <w14:solidFill>
              <w14:schemeClr w14:val="tx1"/>
            </w14:solidFill>
          </w14:textFill>
        </w:rPr>
        <w:t xml:space="preserve"> For </w:t>
      </w:r>
      <w:r>
        <w:rPr>
          <w:rFonts w:hint="default"/>
          <w:b w:val="0"/>
          <w:color w:val="000000" w:themeColor="text1"/>
          <w:szCs w:val="20"/>
          <w:lang w:val="en-GB" w:eastAsia="en-US"/>
          <w14:textFill>
            <w14:solidFill>
              <w14:schemeClr w14:val="tx1"/>
            </w14:solidFill>
          </w14:textFill>
        </w:rPr>
        <w:t xml:space="preserve">Direction A Option </w:t>
      </w:r>
      <w:r>
        <w:rPr>
          <w:rFonts w:hint="eastAsia"/>
          <w:b w:val="0"/>
          <w:color w:val="000000" w:themeColor="text1"/>
          <w:szCs w:val="20"/>
          <w:lang w:val="en-US" w:eastAsia="zh-CN"/>
          <w14:textFill>
            <w14:solidFill>
              <w14:schemeClr w14:val="tx1"/>
            </w14:solidFill>
          </w14:textFill>
        </w:rPr>
        <w:t>4</w:t>
      </w:r>
      <w:r>
        <w:rPr>
          <w:rFonts w:hint="default"/>
          <w:b w:val="0"/>
          <w:color w:val="000000" w:themeColor="text1"/>
          <w:szCs w:val="20"/>
          <w:lang w:val="en-GB" w:eastAsia="en-US"/>
          <w14:textFill>
            <w14:solidFill>
              <w14:schemeClr w14:val="tx1"/>
            </w14:solidFill>
          </w14:textFill>
        </w:rPr>
        <w:t>-1</w:t>
      </w:r>
      <w:r>
        <w:rPr>
          <w:rFonts w:hint="eastAsia"/>
          <w:b w:val="0"/>
          <w:color w:val="000000" w:themeColor="text1"/>
          <w:szCs w:val="20"/>
          <w:lang w:val="en-US" w:eastAsia="zh-CN"/>
          <w14:textFill>
            <w14:solidFill>
              <w14:schemeClr w14:val="tx1"/>
            </w14:solidFill>
          </w14:textFill>
        </w:rPr>
        <w:t>, the overhead and resource consumption for the exchange of the {target CSI, CSI feedback} dataset would be much larger than that of the encoder parameter for Option 3a-1, and the feasibility of dataset sharing acorss UE vendors have not been well studied by other working groups.</w:t>
      </w:r>
    </w:p>
    <w:p>
      <w:pPr>
        <w:pStyle w:val="147"/>
        <w:numPr>
          <w:numId w:val="43"/>
        </w:numPr>
        <w:snapToGrid w:val="0"/>
        <w:spacing w:before="72" w:after="72"/>
        <w:jc w:val="both"/>
        <w:rPr>
          <w:rFonts w:hint="default"/>
          <w:b w:val="0"/>
          <w:color w:val="000000" w:themeColor="text1"/>
          <w:szCs w:val="20"/>
          <w:lang w:val="en-US" w:eastAsia="zh-CN"/>
          <w14:textFill>
            <w14:solidFill>
              <w14:schemeClr w14:val="tx1"/>
            </w14:solidFill>
          </w14:textFill>
        </w:rPr>
      </w:pPr>
      <w:r>
        <w:rPr>
          <w:rFonts w:hint="eastAsia"/>
          <w:b w:val="0"/>
          <w:color w:val="000000" w:themeColor="text1"/>
          <w:szCs w:val="20"/>
          <w:lang w:val="en-US" w:eastAsia="zh-CN"/>
          <w14:textFill>
            <w14:solidFill>
              <w14:schemeClr w14:val="tx1"/>
            </w14:solidFill>
          </w14:textFill>
        </w:rPr>
        <w:t>Regarding the i</w:t>
      </w:r>
      <w:r>
        <w:rPr>
          <w:rFonts w:hint="eastAsia"/>
          <w:b w:val="0"/>
          <w:color w:val="000000" w:themeColor="text1"/>
          <w:szCs w:val="20"/>
          <w:lang w:val="en-US"/>
          <w14:textFill>
            <w14:solidFill>
              <w14:schemeClr w14:val="tx1"/>
            </w14:solidFill>
          </w14:textFill>
        </w:rPr>
        <w:t>nter-vendor training collaboration</w:t>
      </w:r>
      <w:r>
        <w:rPr>
          <w:rFonts w:hint="eastAsia"/>
          <w:b w:val="0"/>
          <w:color w:val="000000" w:themeColor="text1"/>
          <w:szCs w:val="20"/>
          <w:lang w:val="en-US" w:eastAsia="zh-CN"/>
          <w14:textFill>
            <w14:solidFill>
              <w14:schemeClr w14:val="tx1"/>
            </w14:solidFill>
          </w14:textFill>
        </w:rPr>
        <w:t xml:space="preserve"> options, prioritize </w:t>
      </w:r>
      <w:r>
        <w:rPr>
          <w:rFonts w:hint="default"/>
          <w:b w:val="0"/>
          <w:color w:val="000000" w:themeColor="text1"/>
          <w:szCs w:val="20"/>
          <w:lang w:val="en-GB" w:eastAsia="en-US"/>
          <w14:textFill>
            <w14:solidFill>
              <w14:schemeClr w14:val="tx1"/>
            </w14:solidFill>
          </w14:textFill>
        </w:rPr>
        <w:t>Direction A Option 3a-1</w:t>
      </w:r>
      <w:r>
        <w:rPr>
          <w:rFonts w:hint="eastAsia"/>
          <w:b w:val="0"/>
          <w:color w:val="000000" w:themeColor="text1"/>
          <w:szCs w:val="20"/>
          <w:lang w:val="en-US" w:eastAsia="zh-CN"/>
          <w14:textFill>
            <w14:solidFill>
              <w14:schemeClr w14:val="tx1"/>
            </w14:solidFill>
          </w14:textFill>
        </w:rPr>
        <w:t xml:space="preserve"> over </w:t>
      </w:r>
      <w:r>
        <w:rPr>
          <w:rFonts w:hint="default"/>
          <w:b w:val="0"/>
          <w:color w:val="000000" w:themeColor="text1"/>
          <w:szCs w:val="20"/>
          <w:lang w:val="en-GB" w:eastAsia="en-US"/>
          <w14:textFill>
            <w14:solidFill>
              <w14:schemeClr w14:val="tx1"/>
            </w14:solidFill>
          </w14:textFill>
        </w:rPr>
        <w:t xml:space="preserve">Direction A Option </w:t>
      </w:r>
      <w:r>
        <w:rPr>
          <w:rFonts w:hint="eastAsia"/>
          <w:b w:val="0"/>
          <w:color w:val="000000" w:themeColor="text1"/>
          <w:szCs w:val="20"/>
          <w:lang w:val="en-US" w:eastAsia="zh-CN"/>
          <w14:textFill>
            <w14:solidFill>
              <w14:schemeClr w14:val="tx1"/>
            </w14:solidFill>
          </w14:textFill>
        </w:rPr>
        <w:t>4</w:t>
      </w:r>
      <w:r>
        <w:rPr>
          <w:rFonts w:hint="default"/>
          <w:b w:val="0"/>
          <w:color w:val="000000" w:themeColor="text1"/>
          <w:szCs w:val="20"/>
          <w:lang w:val="en-GB" w:eastAsia="en-US"/>
          <w14:textFill>
            <w14:solidFill>
              <w14:schemeClr w14:val="tx1"/>
            </w14:solidFill>
          </w14:textFill>
        </w:rPr>
        <w:t>-1</w:t>
      </w:r>
      <w:r>
        <w:rPr>
          <w:rFonts w:hint="eastAsia"/>
          <w:b w:val="0"/>
          <w:color w:val="000000" w:themeColor="text1"/>
          <w:szCs w:val="20"/>
          <w:lang w:val="en-US" w:eastAsia="zh-CN"/>
          <w14:textFill>
            <w14:solidFill>
              <w14:schemeClr w14:val="tx1"/>
            </w14:solidFill>
          </w14:textFill>
        </w:rPr>
        <w:t xml:space="preserve"> for the normative work.</w:t>
      </w:r>
    </w:p>
    <w:p>
      <w:pPr>
        <w:pStyle w:val="147"/>
        <w:numPr>
          <w:ilvl w:val="0"/>
          <w:numId w:val="0"/>
        </w:numPr>
        <w:snapToGrid w:val="0"/>
        <w:spacing w:before="72" w:after="72"/>
        <w:ind w:leftChars="0"/>
        <w:jc w:val="both"/>
        <w:rPr>
          <w:rFonts w:hint="default"/>
          <w:b w:val="0"/>
          <w:color w:val="000000" w:themeColor="text1"/>
          <w:szCs w:val="20"/>
          <w:lang w:val="en-US" w:eastAsia="zh-CN"/>
          <w14:textFill>
            <w14:solidFill>
              <w14:schemeClr w14:val="tx1"/>
            </w14:solidFill>
          </w14:textFill>
        </w:rPr>
      </w:pPr>
      <w:r>
        <w:rPr>
          <w:rFonts w:hint="eastAsia"/>
          <w:b/>
          <w:bCs w:val="0"/>
          <w:color w:val="000000" w:themeColor="text1"/>
          <w:szCs w:val="20"/>
          <w:lang w:val="en-US" w:eastAsia="zh-CN"/>
          <w14:textFill>
            <w14:solidFill>
              <w14:schemeClr w14:val="tx1"/>
            </w14:solidFill>
          </w14:textFill>
        </w:rPr>
        <w:t xml:space="preserve">Observation 2: </w:t>
      </w:r>
      <w:r>
        <w:rPr>
          <w:rFonts w:hint="eastAsia"/>
          <w:b w:val="0"/>
          <w:color w:val="000000" w:themeColor="text1"/>
          <w:szCs w:val="20"/>
          <w:lang w:val="en-US" w:eastAsia="zh-CN"/>
          <w14:textFill>
            <w14:solidFill>
              <w14:schemeClr w14:val="tx1"/>
            </w14:solidFill>
          </w14:textFill>
        </w:rPr>
        <w:t>Temporal domain CSI compression Case 2 would lead to model performance degradation due to UCI missing, partial CSI omission, or aperiodic CSI triggering, and significantly increase the model complexity due to the extra module for time correlation extraction (e.g., LSTM).</w:t>
      </w:r>
    </w:p>
    <w:p>
      <w:pPr>
        <w:pStyle w:val="147"/>
        <w:snapToGrid w:val="0"/>
        <w:spacing w:before="72" w:after="72"/>
        <w:jc w:val="both"/>
        <w:rPr>
          <w:rFonts w:hint="default"/>
          <w:b w:val="0"/>
          <w:color w:val="000000" w:themeColor="text1"/>
          <w:szCs w:val="20"/>
          <w:lang w:val="en-US" w:eastAsia="zh-CN"/>
          <w14:textFill>
            <w14:solidFill>
              <w14:schemeClr w14:val="tx1"/>
            </w14:solidFill>
          </w14:textFill>
        </w:rPr>
      </w:pPr>
      <w:r>
        <w:rPr>
          <w:rFonts w:hint="eastAsia"/>
          <w:b w:val="0"/>
          <w:color w:val="000000" w:themeColor="text1"/>
          <w:szCs w:val="20"/>
          <w:lang w:val="en-US" w:eastAsia="zh-CN"/>
          <w14:textFill>
            <w14:solidFill>
              <w14:schemeClr w14:val="tx1"/>
            </w14:solidFill>
          </w14:textFill>
        </w:rPr>
        <w:t>Regarding the temporal domain aspects of AI/ML-based CSI compression using two-sided model, prioritize Case 3 over Case 2 for the normative work.</w:t>
      </w:r>
    </w:p>
    <w:p>
      <w:pPr>
        <w:pStyle w:val="147"/>
        <w:snapToGrid w:val="0"/>
        <w:spacing w:before="72" w:after="72"/>
        <w:jc w:val="both"/>
        <w:rPr>
          <w:rFonts w:hint="default"/>
          <w:b w:val="0"/>
          <w:color w:val="000000" w:themeColor="text1"/>
          <w:szCs w:val="20"/>
          <w:lang w:val="en-US" w:eastAsia="zh-CN"/>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b w:val="0"/>
          <w:color w:val="000000" w:themeColor="text1"/>
          <w:szCs w:val="20"/>
          <w:lang w:val="en-US" w:eastAsia="zh-CN"/>
          <w14:textFill>
            <w14:solidFill>
              <w14:schemeClr w14:val="tx1"/>
            </w14:solidFill>
          </w14:textFill>
        </w:rPr>
        <w:t xml:space="preserve">Regarding the potential specification impacts of AI/ML-based CSI compression using two-sided model, considering the followings for the normative work: </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hint="eastAsia" w:eastAsia="Times New Roman"/>
          <w:i/>
          <w:color w:val="000000" w:themeColor="text1"/>
          <w:lang w:val="en-GB"/>
          <w14:textFill>
            <w14:solidFill>
              <w14:schemeClr w14:val="tx1"/>
            </w14:solidFill>
          </w14:textFill>
        </w:rPr>
      </w:pPr>
      <w:r>
        <w:rPr>
          <w:rFonts w:hint="eastAsia" w:eastAsia="Times New Roman"/>
          <w:i/>
          <w:color w:val="000000" w:themeColor="text1"/>
          <w:lang w:val="en-GB"/>
          <w14:textFill>
            <w14:solidFill>
              <w14:schemeClr w14:val="tx1"/>
            </w14:solidFill>
          </w14:textFill>
        </w:rPr>
        <w:t>Data collection, e.g., ground-truth CSI reporting with higher resolution, quality based data omission</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hint="eastAsia" w:eastAsia="Times New Roman"/>
          <w:i/>
          <w:color w:val="000000" w:themeColor="text1"/>
          <w:lang w:val="en-GB"/>
          <w14:textFill>
            <w14:solidFill>
              <w14:schemeClr w14:val="tx1"/>
            </w14:solidFill>
          </w14:textFill>
        </w:rPr>
      </w:pPr>
      <w:r>
        <w:rPr>
          <w:rFonts w:hint="eastAsia" w:eastAsia="Times New Roman"/>
          <w:i/>
          <w:color w:val="000000" w:themeColor="text1"/>
          <w:lang w:val="en-GB"/>
          <w14:textFill>
            <w14:solidFill>
              <w14:schemeClr w14:val="tx1"/>
            </w14:solidFill>
          </w14:textFill>
        </w:rPr>
        <w:t>Model inference, e.g., enhancements on CSI report framework, CSI processing criteria</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hint="eastAsia" w:eastAsia="Times New Roman"/>
          <w:i/>
          <w:color w:val="000000" w:themeColor="text1"/>
          <w:lang w:val="en-GB"/>
          <w14:textFill>
            <w14:solidFill>
              <w14:schemeClr w14:val="tx1"/>
            </w14:solidFill>
          </w14:textFill>
        </w:rPr>
      </w:pPr>
      <w:r>
        <w:rPr>
          <w:rFonts w:hint="eastAsia" w:eastAsia="Times New Roman"/>
          <w:i/>
          <w:color w:val="000000" w:themeColor="text1"/>
          <w:lang w:val="en-GB"/>
          <w14:textFill>
            <w14:solidFill>
              <w14:schemeClr w14:val="tx1"/>
            </w14:solidFill>
          </w14:textFill>
        </w:rPr>
        <w:t>Performance monitoring, e.g., performance metrics, monitoring report mechanism</w:t>
      </w:r>
      <w:r>
        <w:rPr>
          <w:rFonts w:hint="eastAsia" w:eastAsia="宋体"/>
          <w:i/>
          <w:color w:val="000000" w:themeColor="text1"/>
          <w:lang w:val="en-US" w:eastAsia="zh-CN"/>
          <w14:textFill>
            <w14:solidFill>
              <w14:schemeClr w14:val="tx1"/>
            </w14:solidFill>
          </w14:textFill>
        </w:rPr>
        <w:t>s</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hint="eastAsia" w:eastAsia="Times New Roman"/>
          <w:i/>
          <w:color w:val="000000" w:themeColor="text1"/>
          <w:lang w:val="en-GB"/>
          <w14:textFill>
            <w14:solidFill>
              <w14:schemeClr w14:val="tx1"/>
            </w14:solidFill>
          </w14:textFill>
        </w:rPr>
      </w:pPr>
      <w:r>
        <w:rPr>
          <w:rFonts w:hint="eastAsia" w:eastAsia="Times New Roman"/>
          <w:i/>
          <w:color w:val="000000" w:themeColor="text1"/>
          <w:lang w:val="en-GB"/>
          <w14:textFill>
            <w14:solidFill>
              <w14:schemeClr w14:val="tx1"/>
            </w14:solidFill>
          </w14:textFill>
        </w:rPr>
        <w:t xml:space="preserve">Other issues, e.g., </w:t>
      </w:r>
      <w:r>
        <w:rPr>
          <w:rFonts w:hint="eastAsia" w:eastAsia="宋体"/>
          <w:i/>
          <w:color w:val="000000" w:themeColor="text1"/>
          <w:lang w:val="en-US" w:eastAsia="zh-CN"/>
          <w14:textFill>
            <w14:solidFill>
              <w14:schemeClr w14:val="tx1"/>
            </w14:solidFill>
          </w14:textFill>
        </w:rPr>
        <w:t xml:space="preserve">model pairing, </w:t>
      </w:r>
      <w:r>
        <w:rPr>
          <w:rFonts w:hint="eastAsia" w:eastAsia="Times New Roman"/>
          <w:i/>
          <w:color w:val="000000" w:themeColor="text1"/>
          <w:lang w:val="en-GB"/>
          <w14:textFill>
            <w14:solidFill>
              <w14:schemeClr w14:val="tx1"/>
            </w14:solidFill>
          </w14:textFill>
        </w:rPr>
        <w:t>APU occupation, model loading/processing timeline</w:t>
      </w:r>
    </w:p>
    <w:p>
      <w:pPr>
        <w:pStyle w:val="147"/>
        <w:numPr>
          <w:ilvl w:val="0"/>
          <w:numId w:val="0"/>
        </w:numPr>
        <w:snapToGrid w:val="0"/>
        <w:spacing w:before="72" w:after="72"/>
        <w:jc w:val="both"/>
        <w:rPr>
          <w:rFonts w:cs="Times New Roman"/>
          <w:color w:val="000000" w:themeColor="text1"/>
          <w14:textFill>
            <w14:solidFill>
              <w14:schemeClr w14:val="tx1"/>
            </w14:solidFill>
          </w14:textFill>
        </w:rPr>
      </w:pPr>
    </w:p>
    <w:p>
      <w:pPr>
        <w:numPr>
          <w:ilvl w:val="255"/>
          <w:numId w:val="0"/>
        </w:numPr>
        <w:adjustRightInd w:val="0"/>
        <w:snapToGrid w:val="0"/>
        <w:spacing w:before="72" w:beforeLines="30" w:after="72" w:afterLines="30" w:line="288" w:lineRule="auto"/>
        <w:jc w:val="center"/>
        <w:rPr>
          <w:rFonts w:eastAsia="宋体"/>
          <w:b/>
          <w:color w:val="000000" w:themeColor="text1"/>
          <w:szCs w:val="20"/>
          <w:u w:val="single"/>
          <w14:textFill>
            <w14:solidFill>
              <w14:schemeClr w14:val="tx1"/>
            </w14:solidFill>
          </w14:textFill>
        </w:rPr>
      </w:pPr>
      <w:r>
        <w:rPr>
          <w:rFonts w:eastAsia="宋体"/>
          <w:b/>
          <w:color w:val="000000" w:themeColor="text1"/>
          <w:szCs w:val="20"/>
          <w:u w:val="single"/>
          <w14:textFill>
            <w14:solidFill>
              <w14:schemeClr w14:val="tx1"/>
            </w14:solidFill>
          </w14:textFill>
        </w:rPr>
        <w:t>Inter-vendor training collaboration</w:t>
      </w:r>
    </w:p>
    <w:p>
      <w:pPr>
        <w:pStyle w:val="113"/>
        <w:widowControl w:val="0"/>
        <w:numPr>
          <w:ilvl w:val="0"/>
          <w:numId w:val="44"/>
        </w:numPr>
        <w:snapToGrid w:val="0"/>
        <w:spacing w:before="72" w:beforeLines="30" w:after="72" w:afterLines="30" w:line="288" w:lineRule="auto"/>
        <w:ind w:firstLineChars="0"/>
        <w:jc w:val="both"/>
        <w:rPr>
          <w:rFonts w:eastAsiaTheme="minorEastAsia"/>
          <w:i/>
          <w:color w:val="000000" w:themeColor="text1"/>
          <w:lang w:bidi="ar"/>
          <w14:textFill>
            <w14:solidFill>
              <w14:schemeClr w14:val="tx1"/>
            </w14:solidFill>
          </w14:textFill>
        </w:rPr>
      </w:pPr>
      <w:r>
        <w:rPr>
          <w:rFonts w:eastAsia="宋体"/>
          <w:b/>
          <w:color w:val="000000" w:themeColor="text1"/>
          <w:szCs w:val="20"/>
          <w:u w:val="single"/>
          <w14:textFill>
            <w14:solidFill>
              <w14:schemeClr w14:val="tx1"/>
            </w14:solidFill>
          </w14:textFill>
        </w:rPr>
        <w:t xml:space="preserve">Direction A </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 xml:space="preserve">For option 3a-1 of Direction A, </w:t>
      </w:r>
      <w:r>
        <w:rPr>
          <w:rFonts w:hint="eastAsia"/>
          <w:b w:val="0"/>
          <w:bCs w:val="0"/>
          <w:color w:val="000000" w:themeColor="text1"/>
          <w:szCs w:val="20"/>
          <w:lang w:val="en-US"/>
          <w14:textFill>
            <w14:solidFill>
              <w14:schemeClr w14:val="tx1"/>
            </w14:solidFill>
          </w14:textFill>
        </w:rPr>
        <w:t>additional dataset for UE-side encoder retraining can be collected by UE implementations</w:t>
      </w:r>
      <w:r>
        <w:rPr>
          <w:rFonts w:hint="eastAsia"/>
          <w:b w:val="0"/>
          <w:color w:val="000000" w:themeColor="text1"/>
          <w:szCs w:val="20"/>
          <w:lang w:val="en-US"/>
          <w14:textFill>
            <w14:solidFill>
              <w14:schemeClr w14:val="tx1"/>
            </w14:solidFill>
          </w14:textFill>
        </w:rPr>
        <w:t xml:space="preserve">, while the sharing of target CSI from NW-side to UE-side is not </w:t>
      </w:r>
      <w:r>
        <w:rPr>
          <w:b w:val="0"/>
          <w:bCs w:val="0"/>
          <w:color w:val="000000" w:themeColor="text1"/>
          <w:szCs w:val="20"/>
          <w:lang w:val="en-US"/>
          <w14:textFill>
            <w14:solidFill>
              <w14:schemeClr w14:val="tx1"/>
            </w14:solidFill>
          </w14:textFill>
        </w:rPr>
        <w:t>essential</w:t>
      </w:r>
      <w:r>
        <w:rPr>
          <w:rFonts w:hint="eastAsia"/>
          <w:b w:val="0"/>
          <w:bCs w:val="0"/>
          <w:color w:val="000000" w:themeColor="text1"/>
          <w:szCs w:val="20"/>
          <w:lang w:val="en-US"/>
          <w14:textFill>
            <w14:solidFill>
              <w14:schemeClr w14:val="tx1"/>
            </w14:solidFill>
          </w14:textFill>
        </w:rPr>
        <w:t>.</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option 4-1 of Direction A, model backbone information should be shared from NW-side to UE-side to enable UE-side encoder training, validation, and testing.</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the determination of additional information sharing for options 3a-1 and 4-1, the feasibility of addressing UE-side/NW-side data distribution mismatch with respect to NW-side additional conditions should be concluded.</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b w:val="0"/>
          <w:color w:val="000000" w:themeColor="text1"/>
          <w:szCs w:val="20"/>
          <w14:textFill>
            <w14:solidFill>
              <w14:schemeClr w14:val="tx1"/>
            </w14:solidFill>
          </w14:textFill>
        </w:rPr>
        <w:t xml:space="preserve">For inter-vendor-collaboration Options 3a-1 and 4-1 in Direction A, </w:t>
      </w:r>
      <w:r>
        <w:rPr>
          <w:rFonts w:hint="eastAsia"/>
          <w:b w:val="0"/>
          <w:color w:val="000000" w:themeColor="text1"/>
          <w:szCs w:val="20"/>
          <w:lang w:val="en-US"/>
          <w14:textFill>
            <w14:solidFill>
              <w14:schemeClr w14:val="tx1"/>
            </w14:solidFill>
          </w14:textFill>
        </w:rPr>
        <w:t xml:space="preserve">adopting </w:t>
      </w:r>
      <w:r>
        <w:rPr>
          <w:b w:val="0"/>
          <w:color w:val="000000" w:themeColor="text1"/>
          <w:szCs w:val="20"/>
          <w:lang w:val="en-US"/>
          <w14:textFill>
            <w14:solidFill>
              <w14:schemeClr w14:val="tx1"/>
            </w14:solidFill>
          </w14:textFill>
        </w:rPr>
        <w:t>SGCS statistic</w:t>
      </w:r>
      <w:r>
        <w:rPr>
          <w:rFonts w:hint="eastAsia"/>
          <w:b w:val="0"/>
          <w:color w:val="000000" w:themeColor="text1"/>
          <w:szCs w:val="20"/>
          <w:lang w:val="en-US"/>
          <w14:textFill>
            <w14:solidFill>
              <w14:schemeClr w14:val="tx1"/>
            </w14:solidFill>
          </w14:textFill>
        </w:rPr>
        <w:t xml:space="preserve"> as the performance metric to facilitate UE-side offline engineering as a starting point.</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b w:val="0"/>
          <w:color w:val="000000" w:themeColor="text1"/>
          <w:szCs w:val="20"/>
          <w14:textFill>
            <w14:solidFill>
              <w14:schemeClr w14:val="tx1"/>
            </w14:solidFill>
          </w14:textFill>
        </w:rPr>
        <w:t xml:space="preserve">For inter-vendor-collaboration Options 3a-1 and 4-1 in Direction A, </w:t>
      </w:r>
      <w:r>
        <w:rPr>
          <w:rFonts w:hint="eastAsia"/>
          <w:b w:val="0"/>
          <w:color w:val="000000" w:themeColor="text1"/>
          <w:szCs w:val="20"/>
          <w:lang w:val="en-US"/>
          <w14:textFill>
            <w14:solidFill>
              <w14:schemeClr w14:val="tx1"/>
            </w14:solidFill>
          </w14:textFill>
        </w:rPr>
        <w:t>the input data for evaluating the performance is the UE-side target CSI autonomously collected by the UE.</w:t>
      </w:r>
    </w:p>
    <w:p>
      <w:pPr>
        <w:widowControl w:val="0"/>
        <w:snapToGrid w:val="0"/>
        <w:spacing w:before="72" w:beforeLines="30" w:after="72" w:afterLines="30" w:line="288" w:lineRule="auto"/>
        <w:jc w:val="both"/>
        <w:rPr>
          <w:rFonts w:eastAsia="宋体"/>
          <w:i/>
          <w:color w:val="000000" w:themeColor="text1"/>
          <w14:textFill>
            <w14:solidFill>
              <w14:schemeClr w14:val="tx1"/>
            </w14:solidFill>
          </w14:textFill>
        </w:rPr>
      </w:pPr>
      <w:r>
        <w:rPr>
          <w:rFonts w:eastAsiaTheme="minorEastAsia"/>
          <w:b/>
          <w:i/>
          <w:color w:val="000000" w:themeColor="text1"/>
          <w14:textFill>
            <w14:solidFill>
              <w14:schemeClr w14:val="tx1"/>
            </w14:solidFill>
          </w14:textFill>
        </w:rPr>
        <w:t xml:space="preserve">Observation </w:t>
      </w:r>
      <w:r>
        <w:rPr>
          <w:rFonts w:hint="eastAsia" w:eastAsiaTheme="minorEastAsia"/>
          <w:b/>
          <w:i/>
          <w:color w:val="000000" w:themeColor="text1"/>
          <w:lang w:val="en-US" w:eastAsia="zh-CN"/>
          <w14:textFill>
            <w14:solidFill>
              <w14:schemeClr w14:val="tx1"/>
            </w14:solidFill>
          </w14:textFill>
        </w:rPr>
        <w:t>3</w:t>
      </w:r>
      <w:r>
        <w:rPr>
          <w:rFonts w:eastAsiaTheme="minorEastAsia"/>
          <w:b/>
          <w:i/>
          <w:color w:val="000000" w:themeColor="text1"/>
          <w14:textFill>
            <w14:solidFill>
              <w14:schemeClr w14:val="tx1"/>
            </w14:solidFill>
          </w14:textFill>
        </w:rPr>
        <w:t xml:space="preserve">: </w:t>
      </w:r>
      <w:r>
        <w:rPr>
          <w:rFonts w:eastAsiaTheme="minorEastAsia"/>
          <w:i/>
          <w:color w:val="000000" w:themeColor="text1"/>
          <w14:textFill>
            <w14:solidFill>
              <w14:schemeClr w14:val="tx1"/>
            </w14:solidFill>
          </w14:textFill>
        </w:rPr>
        <w:t xml:space="preserve">For </w:t>
      </w:r>
      <w:r>
        <w:rPr>
          <w:rFonts w:hint="eastAsia" w:eastAsiaTheme="minorEastAsia"/>
          <w:i/>
          <w:color w:val="000000" w:themeColor="text1"/>
          <w14:textFill>
            <w14:solidFill>
              <w14:schemeClr w14:val="tx1"/>
            </w14:solidFill>
          </w14:textFill>
        </w:rPr>
        <w:t>option</w:t>
      </w:r>
      <w:r>
        <w:rPr>
          <w:rFonts w:eastAsiaTheme="minorEastAsia"/>
          <w:i/>
          <w:color w:val="000000" w:themeColor="text1"/>
          <w14:textFill>
            <w14:solidFill>
              <w14:schemeClr w14:val="tx1"/>
            </w14:solidFill>
          </w14:textFill>
        </w:rPr>
        <w:t xml:space="preserve">s 3a-1 and 4-1 of Direction A, </w:t>
      </w:r>
      <w:r>
        <w:rPr>
          <w:rFonts w:eastAsia="等线"/>
          <w:i/>
          <w:color w:val="000000" w:themeColor="text1"/>
          <w14:textFill>
            <w14:solidFill>
              <w14:schemeClr w14:val="tx1"/>
            </w14:solidFill>
          </w14:textFill>
        </w:rPr>
        <w:t>t</w:t>
      </w:r>
      <w:r>
        <w:rPr>
          <w:i/>
          <w:color w:val="000000" w:themeColor="text1"/>
          <w14:textFill>
            <w14:solidFill>
              <w14:schemeClr w14:val="tx1"/>
            </w14:solidFill>
          </w14:textFill>
        </w:rPr>
        <w:t xml:space="preserve">here is no proprietary information concern </w:t>
      </w:r>
      <w:r>
        <w:rPr>
          <w:rFonts w:eastAsia="等线"/>
          <w:i/>
          <w:color w:val="000000" w:themeColor="text1"/>
          <w14:textFill>
            <w14:solidFill>
              <w14:schemeClr w14:val="tx1"/>
            </w14:solidFill>
          </w14:textFill>
        </w:rPr>
        <w:t xml:space="preserve">of </w:t>
      </w:r>
      <w:r>
        <w:rPr>
          <w:i/>
          <w:color w:val="000000" w:themeColor="text1"/>
          <w14:textFill>
            <w14:solidFill>
              <w14:schemeClr w14:val="tx1"/>
            </w14:solidFill>
          </w14:textFill>
        </w:rPr>
        <w:t xml:space="preserve">disclosing </w:t>
      </w:r>
      <w:r>
        <w:rPr>
          <w:rFonts w:eastAsia="宋体"/>
          <w:i/>
          <w:color w:val="000000" w:themeColor="text1"/>
          <w14:textFill>
            <w14:solidFill>
              <w14:schemeClr w14:val="tx1"/>
            </w14:solidFill>
          </w14:textFill>
        </w:rPr>
        <w:t>p</w:t>
      </w:r>
      <w:r>
        <w:rPr>
          <w:i/>
          <w:color w:val="000000" w:themeColor="text1"/>
          <w14:textFill>
            <w14:solidFill>
              <w14:schemeClr w14:val="tx1"/>
            </w14:solidFill>
          </w14:textFill>
        </w:rPr>
        <w:t>erformance requirements from NW side to UE side</w:t>
      </w:r>
      <w:r>
        <w:rPr>
          <w:rFonts w:eastAsia="宋体"/>
          <w:i/>
          <w:color w:val="000000" w:themeColor="text1"/>
          <w14:textFill>
            <w14:solidFill>
              <w14:schemeClr w14:val="tx1"/>
            </w14:solidFill>
          </w14:textFill>
        </w:rPr>
        <w:t>.</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 xml:space="preserve">For </w:t>
      </w:r>
      <w:r>
        <w:rPr>
          <w:rFonts w:hint="eastAsia" w:cs="Times New Roman"/>
          <w:b w:val="0"/>
          <w:color w:val="000000" w:themeColor="text1"/>
          <w:szCs w:val="20"/>
          <w:lang w:val="en-US"/>
          <w14:textFill>
            <w14:solidFill>
              <w14:schemeClr w14:val="tx1"/>
            </w14:solidFill>
          </w14:textFill>
        </w:rPr>
        <w:t>option</w:t>
      </w:r>
      <w:r>
        <w:rPr>
          <w:rFonts w:cs="Times New Roman"/>
          <w:b w:val="0"/>
          <w:color w:val="000000" w:themeColor="text1"/>
          <w:szCs w:val="20"/>
          <w:lang w:val="en-US"/>
          <w14:textFill>
            <w14:solidFill>
              <w14:schemeClr w14:val="tx1"/>
            </w14:solidFill>
          </w14:textFill>
        </w:rPr>
        <w:t xml:space="preserve"> 4-1 of Direction A, the model backbone or structure information can only be shared to the opposite node if the proprietary information of the NW side can be maintained.</w:t>
      </w:r>
    </w:p>
    <w:p>
      <w:pPr>
        <w:widowControl w:val="0"/>
        <w:snapToGrid w:val="0"/>
        <w:spacing w:before="72" w:beforeLines="30" w:after="72" w:afterLines="30" w:line="288" w:lineRule="auto"/>
        <w:jc w:val="both"/>
        <w:rPr>
          <w:rFonts w:eastAsiaTheme="minorEastAsia"/>
          <w:i/>
          <w:color w:val="000000" w:themeColor="text1"/>
          <w14:textFill>
            <w14:solidFill>
              <w14:schemeClr w14:val="tx1"/>
            </w14:solidFill>
          </w14:textFill>
        </w:rPr>
      </w:pPr>
      <w:r>
        <w:rPr>
          <w:rFonts w:eastAsiaTheme="minorEastAsia"/>
          <w:b/>
          <w:i/>
          <w:color w:val="000000" w:themeColor="text1"/>
          <w14:textFill>
            <w14:solidFill>
              <w14:schemeClr w14:val="tx1"/>
            </w14:solidFill>
          </w14:textFill>
        </w:rPr>
        <w:t xml:space="preserve">Observation </w:t>
      </w:r>
      <w:r>
        <w:rPr>
          <w:rFonts w:hint="eastAsia" w:eastAsiaTheme="minorEastAsia"/>
          <w:b/>
          <w:i/>
          <w:color w:val="000000" w:themeColor="text1"/>
          <w:lang w:val="en-US" w:eastAsia="zh-CN"/>
          <w14:textFill>
            <w14:solidFill>
              <w14:schemeClr w14:val="tx1"/>
            </w14:solidFill>
          </w14:textFill>
        </w:rPr>
        <w:t>4</w:t>
      </w:r>
      <w:r>
        <w:rPr>
          <w:rFonts w:eastAsiaTheme="minorEastAsia"/>
          <w:b/>
          <w:i/>
          <w:color w:val="000000" w:themeColor="text1"/>
          <w14:textFill>
            <w14:solidFill>
              <w14:schemeClr w14:val="tx1"/>
            </w14:solidFill>
          </w14:textFill>
        </w:rPr>
        <w:t xml:space="preserve">: </w:t>
      </w:r>
      <w:r>
        <w:rPr>
          <w:rFonts w:eastAsiaTheme="minorEastAsia"/>
          <w:i/>
          <w:color w:val="000000" w:themeColor="text1"/>
          <w14:textFill>
            <w14:solidFill>
              <w14:schemeClr w14:val="tx1"/>
            </w14:solidFill>
          </w14:textFill>
        </w:rPr>
        <w:t xml:space="preserve">For Direction A, </w:t>
      </w:r>
      <w:r>
        <w:rPr>
          <w:rFonts w:hint="eastAsia" w:eastAsiaTheme="minorEastAsia"/>
          <w:i/>
          <w:color w:val="000000" w:themeColor="text1"/>
          <w14:textFill>
            <w14:solidFill>
              <w14:schemeClr w14:val="tx1"/>
            </w14:solidFill>
          </w14:textFill>
        </w:rPr>
        <w:t>option</w:t>
      </w:r>
      <w:r>
        <w:rPr>
          <w:rFonts w:eastAsiaTheme="minorEastAsia"/>
          <w:i/>
          <w:color w:val="000000" w:themeColor="text1"/>
          <w14:textFill>
            <w14:solidFill>
              <w14:schemeClr w14:val="tx1"/>
            </w14:solidFill>
          </w14:textFill>
        </w:rPr>
        <w:t xml:space="preserve"> 4-1 faces serious overhead concerns, while </w:t>
      </w:r>
      <w:r>
        <w:rPr>
          <w:rFonts w:hint="eastAsia" w:eastAsiaTheme="minorEastAsia"/>
          <w:i/>
          <w:color w:val="000000" w:themeColor="text1"/>
          <w14:textFill>
            <w14:solidFill>
              <w14:schemeClr w14:val="tx1"/>
            </w14:solidFill>
          </w14:textFill>
        </w:rPr>
        <w:t>option</w:t>
      </w:r>
      <w:r>
        <w:rPr>
          <w:rFonts w:eastAsiaTheme="minorEastAsia"/>
          <w:i/>
          <w:color w:val="000000" w:themeColor="text1"/>
          <w14:textFill>
            <w14:solidFill>
              <w14:schemeClr w14:val="tx1"/>
            </w14:solidFill>
          </w14:textFill>
        </w:rPr>
        <w:t>s 3a-1 incur much lower overhead due to the nature of their parameter exchange mechanisms.</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For data distribution mismatch with respect to NW-side additional conditions for Direction A, it can be resolved by the indication of associated ID which implicitly abstracts the NW-side additional conditions.</w:t>
      </w:r>
    </w:p>
    <w:p>
      <w:pPr>
        <w:pStyle w:val="147"/>
        <w:numPr>
          <w:numId w:val="43"/>
        </w:numPr>
        <w:snapToGrid w:val="0"/>
        <w:spacing w:before="72" w:after="72"/>
        <w:jc w:val="both"/>
        <w:rPr>
          <w:rFonts w:hint="eastAsia"/>
          <w:bCs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For data distribution mismatch with respect to UE-side additional conditions for Direction A, it can be resolved by NW side timely data collection and subsequent update of delivered dataset/parameter to the UE side.</w:t>
      </w:r>
    </w:p>
    <w:p>
      <w:pPr>
        <w:pStyle w:val="113"/>
        <w:widowControl w:val="0"/>
        <w:snapToGrid w:val="0"/>
        <w:spacing w:before="72" w:beforeLines="30" w:after="72" w:afterLines="30" w:line="288" w:lineRule="auto"/>
        <w:ind w:firstLine="0" w:firstLineChars="0"/>
        <w:jc w:val="both"/>
        <w:rPr>
          <w:rFonts w:eastAsiaTheme="minorEastAsia"/>
          <w:i/>
          <w:color w:val="000000" w:themeColor="text1"/>
          <w:lang w:bidi="ar"/>
          <w14:textFill>
            <w14:solidFill>
              <w14:schemeClr w14:val="tx1"/>
            </w14:solidFill>
          </w14:textFill>
        </w:rPr>
      </w:pPr>
    </w:p>
    <w:p>
      <w:pPr>
        <w:pStyle w:val="113"/>
        <w:widowControl w:val="0"/>
        <w:numPr>
          <w:ilvl w:val="0"/>
          <w:numId w:val="44"/>
        </w:numPr>
        <w:snapToGrid w:val="0"/>
        <w:spacing w:before="72" w:beforeLines="30" w:after="72" w:afterLines="30" w:line="288" w:lineRule="auto"/>
        <w:ind w:firstLineChars="0"/>
        <w:jc w:val="both"/>
        <w:rPr>
          <w:rFonts w:eastAsia="宋体"/>
          <w:b/>
          <w:color w:val="000000" w:themeColor="text1"/>
          <w:szCs w:val="20"/>
          <w:u w:val="single"/>
          <w14:textFill>
            <w14:solidFill>
              <w14:schemeClr w14:val="tx1"/>
            </w14:solidFill>
          </w14:textFill>
        </w:rPr>
      </w:pPr>
      <w:r>
        <w:rPr>
          <w:rFonts w:eastAsia="宋体"/>
          <w:b/>
          <w:color w:val="000000" w:themeColor="text1"/>
          <w:szCs w:val="20"/>
          <w:u w:val="single"/>
          <w14:textFill>
            <w14:solidFill>
              <w14:schemeClr w14:val="tx1"/>
            </w14:solidFill>
          </w14:textFill>
        </w:rPr>
        <w:t>Direction B</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For Direction B, it may be infeasible for the NW side to train multiple encoders tailored to different UEs due to the potential UE proprietary information disclosure risks and offline collaboration efforts.</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For Direction B, the implementation of universal encoder across various UEs may or may not sacrifice the overall performance due to the lack of UE-specific encoder design and optimization.</w:t>
      </w:r>
    </w:p>
    <w:p>
      <w:pPr>
        <w:pStyle w:val="147"/>
        <w:numPr>
          <w:ilvl w:val="0"/>
          <w:numId w:val="0"/>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color w:val="000000" w:themeColor="text1"/>
          <w:szCs w:val="20"/>
          <w:lang w:val="en-US"/>
          <w14:textFill>
            <w14:solidFill>
              <w14:schemeClr w14:val="tx1"/>
            </w14:solidFill>
          </w14:textFill>
        </w:rPr>
        <w:t xml:space="preserve">Observation </w:t>
      </w:r>
      <w:r>
        <w:rPr>
          <w:rFonts w:hint="eastAsia" w:cs="Times New Roman"/>
          <w:color w:val="000000" w:themeColor="text1"/>
          <w:szCs w:val="20"/>
          <w:lang w:val="en-US" w:eastAsia="zh-CN"/>
          <w14:textFill>
            <w14:solidFill>
              <w14:schemeClr w14:val="tx1"/>
            </w14:solidFill>
          </w14:textFill>
        </w:rPr>
        <w:t>5</w:t>
      </w:r>
      <w:r>
        <w:rPr>
          <w:rFonts w:cs="Times New Roman"/>
          <w:color w:val="000000" w:themeColor="text1"/>
          <w:szCs w:val="20"/>
          <w:lang w:val="en-US"/>
          <w14:textFill>
            <w14:solidFill>
              <w14:schemeClr w14:val="tx1"/>
            </w14:solidFill>
          </w14:textFill>
        </w:rPr>
        <w:t xml:space="preserve">: </w:t>
      </w:r>
      <w:r>
        <w:rPr>
          <w:rFonts w:cs="Times New Roman"/>
          <w:b w:val="0"/>
          <w:color w:val="000000" w:themeColor="text1"/>
          <w:szCs w:val="20"/>
          <w:lang w:val="en-US"/>
          <w14:textFill>
            <w14:solidFill>
              <w14:schemeClr w14:val="tx1"/>
            </w14:solidFill>
          </w14:textFill>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For Direction B, data categorization using associated IDs and continuous monitoring can be considered for addressing the data distribution mismatch issues.</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Direction B may not carry risks of disclosing proprietary information if the model parameters to be transferred are widely recognized and devoid of device-specific design decisions.</w:t>
      </w:r>
    </w:p>
    <w:p>
      <w:pPr>
        <w:pStyle w:val="147"/>
        <w:numPr>
          <w:ilvl w:val="0"/>
          <w:numId w:val="0"/>
        </w:numPr>
        <w:snapToGrid w:val="0"/>
        <w:spacing w:before="72" w:after="72"/>
        <w:jc w:val="both"/>
        <w:rPr>
          <w:rFonts w:cs="Times New Roman"/>
          <w:b w:val="0"/>
          <w:color w:val="000000" w:themeColor="text1"/>
          <w:szCs w:val="20"/>
          <w:lang w:val="en-US"/>
          <w14:textFill>
            <w14:solidFill>
              <w14:schemeClr w14:val="tx1"/>
            </w14:solidFill>
          </w14:textFill>
        </w:rPr>
      </w:pPr>
    </w:p>
    <w:p>
      <w:pPr>
        <w:pStyle w:val="113"/>
        <w:widowControl w:val="0"/>
        <w:numPr>
          <w:ilvl w:val="0"/>
          <w:numId w:val="44"/>
        </w:numPr>
        <w:snapToGrid w:val="0"/>
        <w:spacing w:before="72" w:beforeLines="30" w:after="72" w:afterLines="30" w:line="288" w:lineRule="auto"/>
        <w:ind w:firstLineChars="0"/>
        <w:jc w:val="both"/>
        <w:rPr>
          <w:rFonts w:eastAsia="宋体"/>
          <w:b/>
          <w:color w:val="000000" w:themeColor="text1"/>
          <w:szCs w:val="20"/>
          <w:u w:val="single"/>
          <w14:textFill>
            <w14:solidFill>
              <w14:schemeClr w14:val="tx1"/>
            </w14:solidFill>
          </w14:textFill>
        </w:rPr>
      </w:pPr>
      <w:r>
        <w:rPr>
          <w:rFonts w:eastAsia="宋体"/>
          <w:b/>
          <w:color w:val="000000" w:themeColor="text1"/>
          <w:szCs w:val="20"/>
          <w:u w:val="single"/>
          <w14:textFill>
            <w14:solidFill>
              <w14:schemeClr w14:val="tx1"/>
            </w14:solidFill>
          </w14:textFill>
        </w:rPr>
        <w:t>Direction C</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For Direction C, synthetic data generated under 3GPP’s statistical channel model can be a starting point for reference model training.</w:t>
      </w:r>
    </w:p>
    <w:p>
      <w:pPr>
        <w:widowControl w:val="0"/>
        <w:snapToGrid w:val="0"/>
        <w:spacing w:before="72" w:beforeLines="30" w:after="72" w:afterLines="30" w:line="288" w:lineRule="auto"/>
        <w:jc w:val="both"/>
        <w:rPr>
          <w:rFonts w:eastAsiaTheme="minorEastAsia"/>
          <w:b/>
          <w:i/>
          <w:color w:val="000000" w:themeColor="text1"/>
          <w14:textFill>
            <w14:solidFill>
              <w14:schemeClr w14:val="tx1"/>
            </w14:solidFill>
          </w14:textFill>
        </w:rPr>
      </w:pPr>
      <w:r>
        <w:rPr>
          <w:rFonts w:eastAsiaTheme="minorEastAsia"/>
          <w:b/>
          <w:i/>
          <w:color w:val="000000" w:themeColor="text1"/>
          <w14:textFill>
            <w14:solidFill>
              <w14:schemeClr w14:val="tx1"/>
            </w14:solidFill>
          </w14:textFill>
        </w:rPr>
        <w:t xml:space="preserve">Observation </w:t>
      </w:r>
      <w:r>
        <w:rPr>
          <w:rFonts w:hint="eastAsia" w:eastAsiaTheme="minorEastAsia"/>
          <w:b/>
          <w:i/>
          <w:color w:val="000000" w:themeColor="text1"/>
          <w:lang w:val="en-US" w:eastAsia="zh-CN"/>
          <w14:textFill>
            <w14:solidFill>
              <w14:schemeClr w14:val="tx1"/>
            </w14:solidFill>
          </w14:textFill>
        </w:rPr>
        <w:t>6</w:t>
      </w:r>
      <w:r>
        <w:rPr>
          <w:rFonts w:eastAsiaTheme="minorEastAsia"/>
          <w:b/>
          <w:i/>
          <w:color w:val="000000" w:themeColor="text1"/>
          <w14:textFill>
            <w14:solidFill>
              <w14:schemeClr w14:val="tx1"/>
            </w14:solidFill>
          </w14:textFill>
        </w:rPr>
        <w:t xml:space="preserve">: </w:t>
      </w:r>
      <w:r>
        <w:rPr>
          <w:rFonts w:eastAsiaTheme="minorEastAsia"/>
          <w:i/>
          <w:color w:val="000000" w:themeColor="text1"/>
          <w14:textFill>
            <w14:solidFill>
              <w14:schemeClr w14:val="tx1"/>
            </w14:solidFill>
          </w14:textFill>
        </w:rPr>
        <w:t xml:space="preserve">For Direction C, as synthetic data may not capture all characteristics of real world, mismatch between the distribution of the dataset used for reference model(s) training, UE-side data distribution, and NW-side data distribution happens. </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For Direction C, whether there is any performance impact arising from the data distribution mismatch depends on the generalization capability of the standardized reference model and thus further evaluations are needed.</w:t>
      </w:r>
    </w:p>
    <w:p>
      <w:pPr>
        <w:pStyle w:val="147"/>
        <w:numPr>
          <w:numId w:val="43"/>
        </w:numPr>
        <w:snapToGrid w:val="0"/>
        <w:spacing w:before="72" w:after="72"/>
        <w:jc w:val="both"/>
        <w:rPr>
          <w:rFonts w:cs="Times New Roman"/>
          <w:color w:val="000000" w:themeColor="text1"/>
          <w14:textFill>
            <w14:solidFill>
              <w14:schemeClr w14:val="tx1"/>
            </w14:solidFill>
          </w14:textFill>
        </w:rPr>
      </w:pPr>
      <w:r>
        <w:rPr>
          <w:rFonts w:cs="Times New Roman"/>
          <w:b w:val="0"/>
          <w:color w:val="000000" w:themeColor="text1"/>
          <w:szCs w:val="20"/>
          <w:lang w:val="en-US"/>
          <w14:textFill>
            <w14:solidFill>
              <w14:schemeClr w14:val="tx1"/>
            </w14:solidFill>
          </w14:textFill>
        </w:rPr>
        <w:t>For Direction C, model retraining based on data collected in real world can be performed to bridge the gap between synthetic data and field data.</w:t>
      </w:r>
    </w:p>
    <w:p>
      <w:pPr>
        <w:pStyle w:val="147"/>
        <w:numPr>
          <w:numId w:val="43"/>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Issues 8 and 9 are also applicable to Directions A and B due to the standardization requirement of reference model structure.</w:t>
      </w:r>
    </w:p>
    <w:p>
      <w:pPr>
        <w:pStyle w:val="147"/>
        <w:numPr>
          <w:ilvl w:val="0"/>
          <w:numId w:val="0"/>
        </w:numPr>
        <w:snapToGrid w:val="0"/>
        <w:spacing w:before="72" w:after="72"/>
        <w:ind w:leftChars="0"/>
        <w:jc w:val="both"/>
        <w:rPr>
          <w:rFonts w:cs="Times New Roman"/>
          <w:b w:val="0"/>
          <w:color w:val="000000" w:themeColor="text1"/>
          <w:szCs w:val="20"/>
          <w:lang w:val="en-US"/>
          <w14:textFill>
            <w14:solidFill>
              <w14:schemeClr w14:val="tx1"/>
            </w14:solidFill>
          </w14:textFill>
        </w:rPr>
      </w:pPr>
    </w:p>
    <w:p>
      <w:pPr>
        <w:numPr>
          <w:ilvl w:val="255"/>
          <w:numId w:val="0"/>
        </w:numPr>
        <w:adjustRightInd w:val="0"/>
        <w:snapToGrid w:val="0"/>
        <w:spacing w:before="72" w:beforeLines="30" w:after="72" w:afterLines="30" w:line="288" w:lineRule="auto"/>
        <w:jc w:val="center"/>
        <w:rPr>
          <w:rFonts w:eastAsia="宋体"/>
          <w:b/>
          <w:color w:val="000000" w:themeColor="text1"/>
          <w:szCs w:val="20"/>
          <w:u w:val="single"/>
          <w:lang w:val="en-GB"/>
          <w14:textFill>
            <w14:solidFill>
              <w14:schemeClr w14:val="tx1"/>
            </w14:solidFill>
          </w14:textFill>
        </w:rPr>
      </w:pPr>
      <w:r>
        <w:rPr>
          <w:rFonts w:hint="eastAsia" w:eastAsia="宋体"/>
          <w:b/>
          <w:color w:val="000000" w:themeColor="text1"/>
          <w:szCs w:val="20"/>
          <w:u w:val="single"/>
          <w14:textFill>
            <w14:solidFill>
              <w14:schemeClr w14:val="tx1"/>
            </w14:solidFill>
          </w14:textFill>
        </w:rPr>
        <w:t>Model structure specification feasibility and scalability</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r>
        <w:rPr>
          <w:rFonts w:hint="eastAsia"/>
          <w:bCs w:val="0"/>
          <w:color w:val="000000" w:themeColor="text1"/>
          <w:szCs w:val="20"/>
          <w:lang w:val="en-US"/>
          <w14:textFill>
            <w14:solidFill>
              <w14:schemeClr w14:val="tx1"/>
            </w14:solidFill>
          </w14:textFill>
        </w:rPr>
        <w:t xml:space="preserve">Observation </w:t>
      </w:r>
      <w:r>
        <w:rPr>
          <w:rFonts w:hint="eastAsia"/>
          <w:bCs w:val="0"/>
          <w:color w:val="000000" w:themeColor="text1"/>
          <w:szCs w:val="20"/>
          <w:lang w:val="en-US" w:eastAsia="zh-CN"/>
          <w14:textFill>
            <w14:solidFill>
              <w14:schemeClr w14:val="tx1"/>
            </w14:solidFill>
          </w14:textFill>
        </w:rPr>
        <w:t>7</w:t>
      </w:r>
      <w:r>
        <w:rPr>
          <w:rFonts w:hint="eastAsia"/>
          <w:bCs w:val="0"/>
          <w:color w:val="000000" w:themeColor="text1"/>
          <w:szCs w:val="20"/>
          <w:lang w:val="en-US"/>
          <w14:textFill>
            <w14:solidFill>
              <w14:schemeClr w14:val="tx1"/>
            </w14:solidFill>
          </w14:textFill>
        </w:rPr>
        <w:t xml:space="preserve">: </w:t>
      </w:r>
      <w:r>
        <w:rPr>
          <w:rFonts w:hint="eastAsia"/>
          <w:b w:val="0"/>
          <w:color w:val="000000" w:themeColor="text1"/>
          <w:szCs w:val="20"/>
          <w:lang w:val="en-US"/>
          <w14:textFill>
            <w14:solidFill>
              <w14:schemeClr w14:val="tx1"/>
            </w14:solidFill>
          </w14:textFill>
        </w:rPr>
        <w:t>If a proper model structure with a set of typical hyper-parameters is standardized, the impact on the inference performance is mainly due to the trained model parameters.</w:t>
      </w:r>
    </w:p>
    <w:p>
      <w:pPr>
        <w:pStyle w:val="147"/>
        <w:numPr>
          <w:numId w:val="43"/>
        </w:numPr>
        <w:snapToGrid w:val="0"/>
        <w:spacing w:before="72" w:after="72"/>
        <w:ind w:left="0" w:firstLine="0"/>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RAN1 and RAN4 can share the same standardized model structure for two-sided model of CSI compression to avoid the duplicated specification efforts, where the detailed specification and testing can be up to RAN4 study.</w:t>
      </w:r>
    </w:p>
    <w:p>
      <w:pPr>
        <w:pStyle w:val="147"/>
        <w:numPr>
          <w:numId w:val="43"/>
        </w:numPr>
        <w:snapToGrid w:val="0"/>
        <w:spacing w:before="72" w:after="72"/>
        <w:ind w:left="0" w:firstLine="0"/>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The so</w:t>
      </w:r>
      <w:r>
        <w:rPr>
          <w:b w:val="0"/>
          <w:color w:val="000000" w:themeColor="text1"/>
          <w:szCs w:val="20"/>
          <w:lang w:val="en-US"/>
          <w14:textFill>
            <w14:solidFill>
              <w14:schemeClr w14:val="tx1"/>
            </w14:solidFill>
          </w14:textFill>
        </w:rPr>
        <w:t>-</w:t>
      </w:r>
      <w:r>
        <w:rPr>
          <w:rFonts w:hint="eastAsia"/>
          <w:b w:val="0"/>
          <w:color w:val="000000" w:themeColor="text1"/>
          <w:szCs w:val="20"/>
          <w:lang w:val="en-US"/>
          <w14:textFill>
            <w14:solidFill>
              <w14:schemeClr w14:val="tx1"/>
            </w14:solidFill>
          </w14:textFill>
        </w:rPr>
        <w:t>called standardized reference model structure discussed in RAN1 for Direction A Option 3a-1 is assumed to be equivalent to the to-be-specified model structure, if specified, for performance requirements in RAN4.</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 xml:space="preserve">For the choice of token dimension and feature dimension, Alt 1 is more appropriate considering the inherent channel correlation within the subbands in the frequency domain. </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the choice of token dimension and feature dimension, Alt 3 may involves additional pre-processing steps like padding to handle non-whole divisions and its performance benefit needs further validation.</w:t>
      </w:r>
    </w:p>
    <w:p>
      <w:pPr>
        <w:overflowPunct w:val="0"/>
        <w:snapToGrid w:val="0"/>
        <w:spacing w:before="72" w:beforeLines="30" w:after="72" w:afterLines="30" w:line="288" w:lineRule="auto"/>
        <w:jc w:val="both"/>
        <w:rPr>
          <w:rFonts w:eastAsiaTheme="minorEastAsia"/>
          <w:bCs/>
          <w:i/>
          <w:color w:val="000000" w:themeColor="text1"/>
          <w:lang w:val="en-GB"/>
          <w14:textFill>
            <w14:solidFill>
              <w14:schemeClr w14:val="tx1"/>
            </w14:solidFill>
          </w14:textFill>
        </w:rPr>
      </w:pPr>
      <w:r>
        <w:rPr>
          <w:rFonts w:eastAsiaTheme="minorEastAsia"/>
          <w:b/>
          <w:i/>
          <w:color w:val="000000" w:themeColor="text1"/>
          <w:lang w:val="en-GB"/>
          <w14:textFill>
            <w14:solidFill>
              <w14:schemeClr w14:val="tx1"/>
            </w14:solidFill>
          </w14:textFill>
        </w:rPr>
        <w:t xml:space="preserve">Observation </w:t>
      </w:r>
      <w:r>
        <w:rPr>
          <w:rFonts w:hint="eastAsia" w:eastAsiaTheme="minorEastAsia"/>
          <w:b/>
          <w:i/>
          <w:color w:val="000000" w:themeColor="text1"/>
          <w:lang w:val="en-US" w:eastAsia="zh-CN"/>
          <w14:textFill>
            <w14:solidFill>
              <w14:schemeClr w14:val="tx1"/>
            </w14:solidFill>
          </w14:textFill>
        </w:rPr>
        <w:t>9</w:t>
      </w:r>
      <w:r>
        <w:rPr>
          <w:rFonts w:eastAsiaTheme="minorEastAsia"/>
          <w:b/>
          <w:i/>
          <w:color w:val="000000" w:themeColor="text1"/>
          <w:lang w:val="en-GB"/>
          <w14:textFill>
            <w14:solidFill>
              <w14:schemeClr w14:val="tx1"/>
            </w14:solidFill>
          </w14:textFill>
        </w:rPr>
        <w:t xml:space="preserve">: </w:t>
      </w:r>
      <w:r>
        <w:rPr>
          <w:rFonts w:eastAsiaTheme="minorEastAsia"/>
          <w:bCs/>
          <w:i/>
          <w:color w:val="000000" w:themeColor="text1"/>
          <w:lang w:val="en-GB"/>
          <w14:textFill>
            <w14:solidFill>
              <w14:schemeClr w14:val="tx1"/>
            </w14:solidFill>
          </w14:textFill>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pPr>
        <w:overflowPunct w:val="0"/>
        <w:snapToGrid w:val="0"/>
        <w:spacing w:before="72" w:beforeLines="30" w:after="72" w:afterLines="30" w:line="288" w:lineRule="auto"/>
        <w:jc w:val="both"/>
        <w:rPr>
          <w:rFonts w:eastAsiaTheme="minorEastAsia"/>
          <w:bCs/>
          <w:i/>
          <w:color w:val="000000" w:themeColor="text1"/>
          <w:lang w:val="en-GB"/>
          <w14:textFill>
            <w14:solidFill>
              <w14:schemeClr w14:val="tx1"/>
            </w14:solidFill>
          </w14:textFill>
        </w:rPr>
      </w:pPr>
      <w:r>
        <w:rPr>
          <w:rFonts w:eastAsiaTheme="minorEastAsia"/>
          <w:b/>
          <w:i/>
          <w:color w:val="000000" w:themeColor="text1"/>
          <w:lang w:val="en-GB"/>
          <w14:textFill>
            <w14:solidFill>
              <w14:schemeClr w14:val="tx1"/>
            </w14:solidFill>
          </w14:textFill>
        </w:rPr>
        <w:t xml:space="preserve">Observation </w:t>
      </w:r>
      <w:r>
        <w:rPr>
          <w:rFonts w:hint="eastAsia" w:eastAsiaTheme="minorEastAsia"/>
          <w:b/>
          <w:i/>
          <w:color w:val="000000" w:themeColor="text1"/>
          <w:lang w:val="en-US" w:eastAsia="zh-CN"/>
          <w14:textFill>
            <w14:solidFill>
              <w14:schemeClr w14:val="tx1"/>
            </w14:solidFill>
          </w14:textFill>
        </w:rPr>
        <w:t>10</w:t>
      </w:r>
      <w:r>
        <w:rPr>
          <w:rFonts w:eastAsiaTheme="minorEastAsia"/>
          <w:b/>
          <w:i/>
          <w:color w:val="000000" w:themeColor="text1"/>
          <w:lang w:val="en-GB"/>
          <w14:textFill>
            <w14:solidFill>
              <w14:schemeClr w14:val="tx1"/>
            </w14:solidFill>
          </w14:textFill>
        </w:rPr>
        <w:t>:</w:t>
      </w:r>
      <w:r>
        <w:rPr>
          <w:rFonts w:eastAsiaTheme="minorEastAsia"/>
          <w:bCs/>
          <w:i/>
          <w:color w:val="000000" w:themeColor="text1"/>
          <w:lang w:val="en-GB"/>
          <w14:textFill>
            <w14:solidFill>
              <w14:schemeClr w14:val="tx1"/>
            </w14:solidFill>
          </w14:textFill>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pPr>
        <w:overflowPunct w:val="0"/>
        <w:snapToGrid w:val="0"/>
        <w:spacing w:before="72" w:beforeLines="30" w:after="72" w:afterLines="30" w:line="288" w:lineRule="auto"/>
        <w:jc w:val="both"/>
        <w:rPr>
          <w:rFonts w:eastAsiaTheme="minorEastAsia"/>
          <w:bCs/>
          <w:i/>
          <w:color w:val="000000" w:themeColor="text1"/>
          <w14:textFill>
            <w14:solidFill>
              <w14:schemeClr w14:val="tx1"/>
            </w14:solidFill>
          </w14:textFill>
        </w:rPr>
      </w:pPr>
      <w:r>
        <w:rPr>
          <w:rFonts w:eastAsiaTheme="minorEastAsia"/>
          <w:b/>
          <w:i/>
          <w:color w:val="000000" w:themeColor="text1"/>
          <w:lang w:val="en-GB"/>
          <w14:textFill>
            <w14:solidFill>
              <w14:schemeClr w14:val="tx1"/>
            </w14:solidFill>
          </w14:textFill>
        </w:rPr>
        <w:t xml:space="preserve">Observation </w:t>
      </w:r>
      <w:r>
        <w:rPr>
          <w:rFonts w:hint="eastAsia" w:eastAsiaTheme="minorEastAsia"/>
          <w:b/>
          <w:i/>
          <w:color w:val="000000" w:themeColor="text1"/>
          <w:lang w:val="en-US" w:eastAsia="zh-CN"/>
          <w14:textFill>
            <w14:solidFill>
              <w14:schemeClr w14:val="tx1"/>
            </w14:solidFill>
          </w14:textFill>
        </w:rPr>
        <w:t>11</w:t>
      </w:r>
      <w:r>
        <w:rPr>
          <w:rFonts w:eastAsiaTheme="minorEastAsia"/>
          <w:b/>
          <w:i/>
          <w:color w:val="000000" w:themeColor="text1"/>
          <w:lang w:val="en-GB"/>
          <w14:textFill>
            <w14:solidFill>
              <w14:schemeClr w14:val="tx1"/>
            </w14:solidFill>
          </w14:textFill>
        </w:rPr>
        <w:t>:</w:t>
      </w:r>
      <w:r>
        <w:rPr>
          <w:rFonts w:eastAsiaTheme="minorEastAsia"/>
          <w:bCs/>
          <w:i/>
          <w:color w:val="000000" w:themeColor="text1"/>
          <w:lang w:val="en-GB"/>
          <w14:textFill>
            <w14:solidFill>
              <w14:schemeClr w14:val="tx1"/>
            </w14:solidFill>
          </w14:textFill>
        </w:rPr>
        <w:t xml:space="preserve"> </w:t>
      </w:r>
      <w:r>
        <w:rPr>
          <w:rFonts w:hint="eastAsia" w:eastAsia="宋体"/>
          <w:i/>
          <w:color w:val="000000" w:themeColor="text1"/>
          <w:lang w:val="en-GB"/>
          <w14:textFill>
            <w14:solidFill>
              <w14:schemeClr w14:val="tx1"/>
            </w14:solidFill>
          </w14:textFill>
        </w:rPr>
        <w:t>For scalability over the token dimension, Alt 2 (padding at the input) is a simple way to operate and incurs minor performance degradation compared with the dedicated model design</w:t>
      </w:r>
      <w:r>
        <w:rPr>
          <w:rFonts w:hint="eastAsia" w:eastAsia="宋体"/>
          <w:i/>
          <w:color w:val="000000" w:themeColor="text1"/>
          <w14:textFill>
            <w14:solidFill>
              <w14:schemeClr w14:val="tx1"/>
            </w14:solidFill>
          </w14:textFill>
        </w:rPr>
        <w:t>.</w:t>
      </w:r>
    </w:p>
    <w:p>
      <w:pPr>
        <w:overflowPunct w:val="0"/>
        <w:snapToGrid w:val="0"/>
        <w:spacing w:before="72" w:beforeLines="30" w:after="72" w:afterLines="30" w:line="288" w:lineRule="auto"/>
        <w:jc w:val="both"/>
        <w:rPr>
          <w:rFonts w:eastAsiaTheme="minorEastAsia"/>
          <w:b/>
          <w:i/>
          <w:color w:val="000000" w:themeColor="text1"/>
          <w:lang w:val="en-GB"/>
          <w14:textFill>
            <w14:solidFill>
              <w14:schemeClr w14:val="tx1"/>
            </w14:solidFill>
          </w14:textFill>
        </w:rPr>
      </w:pPr>
      <w:r>
        <w:rPr>
          <w:rFonts w:hint="eastAsia" w:eastAsiaTheme="minorEastAsia"/>
          <w:b/>
          <w:i/>
          <w:color w:val="000000" w:themeColor="text1"/>
          <w:lang w:val="en-GB"/>
          <w14:textFill>
            <w14:solidFill>
              <w14:schemeClr w14:val="tx1"/>
            </w14:solidFill>
          </w14:textFill>
        </w:rPr>
        <w:t>O</w:t>
      </w:r>
      <w:r>
        <w:rPr>
          <w:rFonts w:eastAsiaTheme="minorEastAsia"/>
          <w:b/>
          <w:i/>
          <w:color w:val="000000" w:themeColor="text1"/>
          <w:lang w:val="en-GB"/>
          <w14:textFill>
            <w14:solidFill>
              <w14:schemeClr w14:val="tx1"/>
            </w14:solidFill>
          </w14:textFill>
        </w:rPr>
        <w:t xml:space="preserve">bservation </w:t>
      </w:r>
      <w:r>
        <w:rPr>
          <w:rFonts w:hint="eastAsia" w:eastAsiaTheme="minorEastAsia"/>
          <w:b/>
          <w:i/>
          <w:color w:val="000000" w:themeColor="text1"/>
          <w:lang w:val="en-US" w:eastAsia="zh-CN"/>
          <w14:textFill>
            <w14:solidFill>
              <w14:schemeClr w14:val="tx1"/>
            </w14:solidFill>
          </w14:textFill>
        </w:rPr>
        <w:t>12</w:t>
      </w:r>
      <w:r>
        <w:rPr>
          <w:rFonts w:eastAsiaTheme="minorEastAsia"/>
          <w:b/>
          <w:i/>
          <w:color w:val="000000" w:themeColor="text1"/>
          <w:lang w:val="en-GB"/>
          <w14:textFill>
            <w14:solidFill>
              <w14:schemeClr w14:val="tx1"/>
            </w14:solidFill>
          </w14:textFill>
        </w:rPr>
        <w:t xml:space="preserve">: </w:t>
      </w:r>
      <w:r>
        <w:rPr>
          <w:rFonts w:eastAsiaTheme="minorEastAsia"/>
          <w:bCs/>
          <w:i/>
          <w:color w:val="000000" w:themeColor="text1"/>
          <w:lang w:val="en-GB"/>
          <w14:textFill>
            <w14:solidFill>
              <w14:schemeClr w14:val="tx1"/>
            </w14:solidFill>
          </w14:textFill>
        </w:rPr>
        <w:t>For scalability over payload configurations, compared with Alt 1 (specific output linear layer for each payload configuration), Alt 2 (truncation/masking of the output linear layer output) can reduce number of model parameters by over 40%</w:t>
      </w:r>
      <w:r>
        <w:rPr>
          <w:rFonts w:hint="eastAsia" w:eastAsiaTheme="minorEastAsia"/>
          <w:bCs/>
          <w:i/>
          <w:color w:val="000000" w:themeColor="text1"/>
          <w14:textFill>
            <w14:solidFill>
              <w14:schemeClr w14:val="tx1"/>
            </w14:solidFill>
          </w14:textFill>
        </w:rPr>
        <w:t xml:space="preserve"> with </w:t>
      </w:r>
      <w:r>
        <w:rPr>
          <w:rFonts w:eastAsiaTheme="minorEastAsia"/>
          <w:bCs/>
          <w:i/>
          <w:color w:val="000000" w:themeColor="text1"/>
          <w:lang w:val="en-GB"/>
          <w14:textFill>
            <w14:solidFill>
              <w14:schemeClr w14:val="tx1"/>
            </w14:solidFill>
          </w14:textFill>
        </w:rPr>
        <w:t>only around 1% SGCS degradation for two layers.</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model structure scalability study for temporal domain Case 0, further consider</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For the choice of token dimension and feature dimension,</w:t>
      </w:r>
    </w:p>
    <w:p>
      <w:pPr>
        <w:numPr>
          <w:ilvl w:val="1"/>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Alt 1: Use subband as the token dimension and Tx port as a feature dimension</w:t>
      </w:r>
    </w:p>
    <w:p>
      <w:pPr>
        <w:numPr>
          <w:ilvl w:val="2"/>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The number of tokens varies with the number of subbands.</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 xml:space="preserve">For scalability over the feature dimension, </w:t>
      </w:r>
    </w:p>
    <w:p>
      <w:pPr>
        <w:numPr>
          <w:ilvl w:val="1"/>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Alt 2: A common embedding layer with padding</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 xml:space="preserve">For scalability over the token dimension, </w:t>
      </w:r>
    </w:p>
    <w:p>
      <w:pPr>
        <w:numPr>
          <w:ilvl w:val="1"/>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Alt 2: Padding at the input</w:t>
      </w:r>
    </w:p>
    <w:p>
      <w:pPr>
        <w:numPr>
          <w:ilvl w:val="0"/>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For scalability over payload configurations,</w:t>
      </w:r>
    </w:p>
    <w:p>
      <w:pPr>
        <w:numPr>
          <w:ilvl w:val="1"/>
          <w:numId w:val="18"/>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000000" w:themeColor="text1"/>
          <w:lang w:val="en-GB"/>
          <w14:textFill>
            <w14:solidFill>
              <w14:schemeClr w14:val="tx1"/>
            </w14:solidFill>
          </w14:textFill>
        </w:rPr>
      </w:pPr>
      <w:r>
        <w:rPr>
          <w:rFonts w:eastAsia="Times New Roman"/>
          <w:i/>
          <w:color w:val="000000" w:themeColor="text1"/>
          <w:lang w:val="en-GB"/>
          <w14:textFill>
            <w14:solidFill>
              <w14:schemeClr w14:val="tx1"/>
            </w14:solidFill>
          </w14:textFill>
        </w:rPr>
        <w:t>Alt 2: Truncation/masking of the output linear layer output</w:t>
      </w:r>
    </w:p>
    <w:p>
      <w:pPr>
        <w:overflowPunct w:val="0"/>
        <w:snapToGrid w:val="0"/>
        <w:spacing w:before="72" w:beforeLines="30" w:after="72" w:afterLines="30" w:line="288" w:lineRule="auto"/>
        <w:jc w:val="both"/>
        <w:rPr>
          <w:rFonts w:eastAsiaTheme="minorEastAsia"/>
          <w:bCs/>
          <w:i/>
          <w:color w:val="000000" w:themeColor="text1"/>
          <w14:textFill>
            <w14:solidFill>
              <w14:schemeClr w14:val="tx1"/>
            </w14:solidFill>
          </w14:textFill>
        </w:rPr>
      </w:pPr>
    </w:p>
    <w:p>
      <w:pPr>
        <w:numPr>
          <w:ilvl w:val="255"/>
          <w:numId w:val="0"/>
        </w:numPr>
        <w:adjustRightInd w:val="0"/>
        <w:snapToGrid w:val="0"/>
        <w:spacing w:before="72" w:beforeLines="30" w:after="72" w:afterLines="30" w:line="288" w:lineRule="auto"/>
        <w:jc w:val="center"/>
        <w:rPr>
          <w:rFonts w:eastAsia="宋体"/>
          <w:b/>
          <w:color w:val="000000" w:themeColor="text1"/>
          <w:szCs w:val="20"/>
          <w:u w:val="single"/>
          <w14:textFill>
            <w14:solidFill>
              <w14:schemeClr w14:val="tx1"/>
            </w14:solidFill>
          </w14:textFill>
        </w:rPr>
      </w:pPr>
      <w:r>
        <w:rPr>
          <w:rFonts w:eastAsia="宋体"/>
          <w:b/>
          <w:color w:val="000000" w:themeColor="text1"/>
          <w:szCs w:val="20"/>
          <w:u w:val="single"/>
          <w14:textFill>
            <w14:solidFill>
              <w14:schemeClr w14:val="tx1"/>
            </w14:solidFill>
          </w14:textFill>
        </w:rPr>
        <w:t>Remaining issues for AI/ML CSI compression</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For ground-truth reporting for NW-side data collection, support to further study enhanced Rel-16 eTypeII codebook design to achieve high-resolution CSI.</w:t>
      </w:r>
    </w:p>
    <w:p>
      <w:pPr>
        <w:pStyle w:val="147"/>
        <w:numPr>
          <w:numId w:val="43"/>
        </w:numPr>
        <w:snapToGrid w:val="0"/>
        <w:spacing w:before="72" w:after="72"/>
        <w:jc w:val="both"/>
        <w:rPr>
          <w:rFonts w:hint="eastAsia"/>
          <w:b w:val="0"/>
          <w:color w:val="000000" w:themeColor="text1"/>
          <w:szCs w:val="20"/>
          <w:lang w:val="en-US"/>
          <w14:textFill>
            <w14:solidFill>
              <w14:schemeClr w14:val="tx1"/>
            </w14:solidFill>
          </w14:textFill>
        </w:rPr>
      </w:pPr>
      <w:r>
        <w:rPr>
          <w:rFonts w:hint="eastAsia"/>
          <w:b w:val="0"/>
          <w:color w:val="000000" w:themeColor="text1"/>
          <w:szCs w:val="20"/>
          <w:lang w:val="en-US"/>
          <w14:textFill>
            <w14:solidFill>
              <w14:schemeClr w14:val="tx1"/>
            </w14:solidFill>
          </w14:textFill>
        </w:rPr>
        <w:t>To enable high-quality data collection from UE to network, at least support</w:t>
      </w:r>
    </w:p>
    <w:p>
      <w:pPr>
        <w:numPr>
          <w:ilvl w:val="0"/>
          <w:numId w:val="27"/>
        </w:numPr>
        <w:adjustRightInd w:val="0"/>
        <w:snapToGrid w:val="0"/>
        <w:spacing w:before="72" w:beforeLines="30" w:after="72" w:afterLines="30" w:line="288"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 xml:space="preserve">UE reports </w:t>
      </w:r>
      <w:r>
        <w:rPr>
          <w:rFonts w:eastAsia="宋体"/>
          <w:i/>
          <w:iCs/>
          <w:color w:val="000000" w:themeColor="text1"/>
          <w14:textFill>
            <w14:solidFill>
              <w14:schemeClr w14:val="tx1"/>
            </w14:solidFill>
          </w14:textFill>
        </w:rPr>
        <w:t xml:space="preserve">data quality related </w:t>
      </w:r>
      <w:r>
        <w:rPr>
          <w:i/>
          <w:color w:val="000000" w:themeColor="text1"/>
          <w14:textFill>
            <w14:solidFill>
              <w14:schemeClr w14:val="tx1"/>
            </w14:solidFill>
          </w14:textFill>
        </w:rPr>
        <w:t>information to NW,</w:t>
      </w:r>
      <w:r>
        <w:rPr>
          <w:color w:val="000000" w:themeColor="text1"/>
          <w14:textFill>
            <w14:solidFill>
              <w14:schemeClr w14:val="tx1"/>
            </w14:solidFill>
          </w14:textFill>
        </w:rPr>
        <w:t xml:space="preserve"> </w:t>
      </w:r>
      <w:r>
        <w:rPr>
          <w:i/>
          <w:color w:val="000000" w:themeColor="text1"/>
          <w14:textFill>
            <w14:solidFill>
              <w14:schemeClr w14:val="tx1"/>
            </w14:solidFill>
          </w14:textFill>
        </w:rPr>
        <w:t>e.g., SINR, CQI, positioning information</w:t>
      </w:r>
    </w:p>
    <w:p>
      <w:pPr>
        <w:numPr>
          <w:ilvl w:val="0"/>
          <w:numId w:val="27"/>
        </w:numPr>
        <w:adjustRightInd w:val="0"/>
        <w:snapToGrid w:val="0"/>
        <w:spacing w:before="72" w:beforeLines="30" w:after="72" w:afterLines="30" w:line="288"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NW configures a threshold of data quality to UE and UE only reports the qualified data to NW</w:t>
      </w:r>
    </w:p>
    <w:p>
      <w:pPr>
        <w:pStyle w:val="147"/>
        <w:numPr>
          <w:ilvl w:val="0"/>
          <w:numId w:val="9"/>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For CQI determination, at least prioritize the specification impact discussions on Options 1a and 1b.</w:t>
      </w:r>
    </w:p>
    <w:p>
      <w:pPr>
        <w:pStyle w:val="147"/>
        <w:numPr>
          <w:ilvl w:val="0"/>
          <w:numId w:val="9"/>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 xml:space="preserve">Prioritize to study the specification impacts on at least the following case for model performance monitoring, </w:t>
      </w:r>
    </w:p>
    <w:p>
      <w:pPr>
        <w:pStyle w:val="113"/>
        <w:numPr>
          <w:ilvl w:val="0"/>
          <w:numId w:val="37"/>
        </w:numPr>
        <w:snapToGrid w:val="0"/>
        <w:spacing w:before="72" w:beforeLines="30" w:after="72" w:afterLines="30" w:line="288" w:lineRule="auto"/>
        <w:ind w:firstLineChars="0"/>
        <w:jc w:val="both"/>
        <w:rPr>
          <w:i/>
          <w:color w:val="000000" w:themeColor="text1"/>
          <w14:textFill>
            <w14:solidFill>
              <w14:schemeClr w14:val="tx1"/>
            </w14:solidFill>
          </w14:textFill>
        </w:rPr>
      </w:pPr>
      <w:r>
        <w:rPr>
          <w:i/>
          <w:color w:val="000000" w:themeColor="text1"/>
          <w14:textFill>
            <w14:solidFill>
              <w14:schemeClr w14:val="tx1"/>
            </w14:solidFill>
          </w14:textFill>
        </w:rPr>
        <w:t>NW-side monitoring based on the target CSI with realistic channel estimation associated to the CSI report, reported by the UE.</w:t>
      </w:r>
    </w:p>
    <w:p>
      <w:pPr>
        <w:pStyle w:val="147"/>
        <w:numPr>
          <w:ilvl w:val="0"/>
          <w:numId w:val="9"/>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In CSI compression using two-sided model use case, deprioritize the study on UE-side monitoring in Rel-19 study phase.</w:t>
      </w:r>
    </w:p>
    <w:p>
      <w:pPr>
        <w:tabs>
          <w:tab w:val="left" w:pos="990"/>
        </w:tabs>
        <w:adjustRightInd w:val="0"/>
        <w:snapToGrid w:val="0"/>
        <w:spacing w:before="72" w:beforeLines="30" w:after="72" w:afterLines="30" w:line="288" w:lineRule="auto"/>
        <w:jc w:val="both"/>
        <w:rPr>
          <w:color w:val="000000" w:themeColor="text1"/>
          <w:szCs w:val="20"/>
          <w14:textFill>
            <w14:solidFill>
              <w14:schemeClr w14:val="tx1"/>
            </w14:solidFill>
          </w14:textFill>
        </w:rPr>
      </w:pPr>
      <w:r>
        <w:rPr>
          <w:rFonts w:hint="eastAsia" w:eastAsia="宋体"/>
          <w:b/>
          <w:bCs/>
          <w:i/>
          <w:iCs/>
          <w:color w:val="000000" w:themeColor="text1"/>
          <w14:textFill>
            <w14:solidFill>
              <w14:schemeClr w14:val="tx1"/>
            </w14:solidFill>
          </w14:textFill>
        </w:rPr>
        <w:t xml:space="preserve">Observation </w:t>
      </w:r>
      <w:r>
        <w:rPr>
          <w:rFonts w:hint="eastAsia" w:eastAsia="宋体"/>
          <w:b/>
          <w:bCs/>
          <w:i/>
          <w:iCs/>
          <w:color w:val="000000" w:themeColor="text1"/>
          <w:lang w:val="en-US" w:eastAsia="zh-CN"/>
          <w14:textFill>
            <w14:solidFill>
              <w14:schemeClr w14:val="tx1"/>
            </w14:solidFill>
          </w14:textFill>
        </w:rPr>
        <w:t>12</w:t>
      </w:r>
      <w:r>
        <w:rPr>
          <w:rFonts w:hint="eastAsia" w:eastAsia="宋体"/>
          <w:b/>
          <w:bCs/>
          <w:i/>
          <w:iCs/>
          <w:color w:val="000000" w:themeColor="text1"/>
          <w14:textFill>
            <w14:solidFill>
              <w14:schemeClr w14:val="tx1"/>
            </w14:solidFill>
          </w14:textFill>
        </w:rPr>
        <w:t xml:space="preserve">: </w:t>
      </w:r>
      <w:r>
        <w:rPr>
          <w:rFonts w:hint="eastAsia" w:eastAsia="宋体"/>
          <w:i/>
          <w:iCs/>
          <w:color w:val="000000" w:themeColor="text1"/>
          <w14:textFill>
            <w14:solidFill>
              <w14:schemeClr w14:val="tx1"/>
            </w14:solidFill>
          </w14:textFill>
        </w:rPr>
        <w:t xml:space="preserve">For the definition of </w:t>
      </w:r>
      <w:r>
        <w:rPr>
          <w:i/>
          <w:iCs/>
          <w:color w:val="000000" w:themeColor="text1"/>
          <w14:textFill>
            <w14:solidFill>
              <w14:schemeClr w14:val="tx1"/>
            </w14:solidFill>
          </w14:textFill>
        </w:rPr>
        <w:t>KPI</w:t>
      </w:r>
      <w:r>
        <w:rPr>
          <w:i/>
          <w:iCs/>
          <w:color w:val="000000" w:themeColor="text1"/>
          <w:vertAlign w:val="subscript"/>
          <w14:textFill>
            <w14:solidFill>
              <w14:schemeClr w14:val="tx1"/>
            </w14:solidFill>
          </w14:textFill>
        </w:rPr>
        <w:t>Diff</w:t>
      </w:r>
      <w:r>
        <w:rPr>
          <w:i/>
          <w:iCs/>
          <w:color w:val="000000" w:themeColor="text1"/>
          <w14:textFill>
            <w14:solidFill>
              <w14:schemeClr w14:val="tx1"/>
            </w14:solidFill>
          </w14:textFill>
        </w:rPr>
        <w:t xml:space="preserve"> </w:t>
      </w:r>
      <w:r>
        <w:rPr>
          <w:rFonts w:hint="eastAsia" w:eastAsia="宋体"/>
          <w:i/>
          <w:iCs/>
          <w:color w:val="000000" w:themeColor="text1"/>
          <w14:textFill>
            <w14:solidFill>
              <w14:schemeClr w14:val="tx1"/>
            </w14:solidFill>
          </w14:textFill>
        </w:rPr>
        <w:t xml:space="preserve">defined in TR 38.843, </w:t>
      </w:r>
      <w:r>
        <w:rPr>
          <w:i/>
          <w:iCs/>
          <w:color w:val="000000" w:themeColor="text1"/>
          <w14:textFill>
            <w14:solidFill>
              <w14:schemeClr w14:val="tx1"/>
            </w14:solidFill>
          </w14:textFill>
        </w:rPr>
        <w:t>KPI</w:t>
      </w:r>
      <w:r>
        <w:rPr>
          <w:i/>
          <w:iCs/>
          <w:color w:val="000000" w:themeColor="text1"/>
          <w:vertAlign w:val="subscript"/>
          <w14:textFill>
            <w14:solidFill>
              <w14:schemeClr w14:val="tx1"/>
            </w14:solidFill>
          </w14:textFill>
        </w:rPr>
        <w:t>Diff</w:t>
      </w:r>
      <w:r>
        <w:rPr>
          <w:i/>
          <w:iCs/>
          <w:color w:val="000000" w:themeColor="text1"/>
          <w14:textFill>
            <w14:solidFill>
              <w14:schemeClr w14:val="tx1"/>
            </w14:solidFill>
          </w14:textFill>
        </w:rPr>
        <w:t xml:space="preserve"> = (KPI</w:t>
      </w:r>
      <w:r>
        <w:rPr>
          <w:i/>
          <w:iCs/>
          <w:color w:val="000000" w:themeColor="text1"/>
          <w:vertAlign w:val="subscript"/>
          <w14:textFill>
            <w14:solidFill>
              <w14:schemeClr w14:val="tx1"/>
            </w14:solidFill>
          </w14:textFill>
        </w:rPr>
        <w:t>Actual</w:t>
      </w:r>
      <w:r>
        <w:rPr>
          <w:i/>
          <w:iCs/>
          <w:color w:val="000000" w:themeColor="text1"/>
          <w14:textFill>
            <w14:solidFill>
              <w14:schemeClr w14:val="tx1"/>
            </w14:solidFill>
          </w14:textFill>
        </w:rPr>
        <w:t xml:space="preserve"> &gt; KPI</w:t>
      </w:r>
      <w:r>
        <w:rPr>
          <w:i/>
          <w:iCs/>
          <w:color w:val="000000" w:themeColor="text1"/>
          <w:vertAlign w:val="subscript"/>
          <w14:textFill>
            <w14:solidFill>
              <w14:schemeClr w14:val="tx1"/>
            </w14:solidFill>
          </w14:textFill>
        </w:rPr>
        <w:t>th 2</w:t>
      </w:r>
      <w:r>
        <w:rPr>
          <w:i/>
          <w:iCs/>
          <w:color w:val="000000" w:themeColor="text1"/>
          <w14:textFill>
            <w14:solidFill>
              <w14:schemeClr w14:val="tx1"/>
            </w14:solidFill>
          </w14:textFill>
        </w:rPr>
        <w:t>, KPI</w:t>
      </w:r>
      <w:r>
        <w:rPr>
          <w:i/>
          <w:iCs/>
          <w:color w:val="000000" w:themeColor="text1"/>
          <w:vertAlign w:val="subscript"/>
          <w14:textFill>
            <w14:solidFill>
              <w14:schemeClr w14:val="tx1"/>
            </w14:solidFill>
          </w14:textFill>
        </w:rPr>
        <w:t>Genie</w:t>
      </w:r>
      <w:r>
        <w:rPr>
          <w:i/>
          <w:iCs/>
          <w:color w:val="000000" w:themeColor="text1"/>
          <w14:textFill>
            <w14:solidFill>
              <w14:schemeClr w14:val="tx1"/>
            </w14:solidFill>
          </w14:textFill>
        </w:rPr>
        <w:t xml:space="preserve"> &lt; KPI</w:t>
      </w:r>
      <w:r>
        <w:rPr>
          <w:i/>
          <w:iCs/>
          <w:color w:val="000000" w:themeColor="text1"/>
          <w:vertAlign w:val="subscript"/>
          <w14:textFill>
            <w14:solidFill>
              <w14:schemeClr w14:val="tx1"/>
            </w14:solidFill>
          </w14:textFill>
        </w:rPr>
        <w:t>th 3</w:t>
      </w:r>
      <w:r>
        <w:rPr>
          <w:i/>
          <w:iCs/>
          <w:color w:val="000000" w:themeColor="text1"/>
          <w14:textFill>
            <w14:solidFill>
              <w14:schemeClr w14:val="tx1"/>
            </w14:solidFill>
          </w14:textFill>
        </w:rPr>
        <w:t>)</w:t>
      </w:r>
      <w:r>
        <w:rPr>
          <w:rFonts w:hint="eastAsia" w:eastAsia="宋体"/>
          <w:i/>
          <w:iCs/>
          <w:color w:val="000000" w:themeColor="text1"/>
          <w14:textFill>
            <w14:solidFill>
              <w14:schemeClr w14:val="tx1"/>
            </w14:solidFill>
          </w14:textFill>
        </w:rPr>
        <w:t xml:space="preserve"> and </w:t>
      </w:r>
      <w:r>
        <w:rPr>
          <w:i/>
          <w:iCs/>
          <w:color w:val="000000" w:themeColor="text1"/>
          <w14:textFill>
            <w14:solidFill>
              <w14:schemeClr w14:val="tx1"/>
            </w14:solidFill>
          </w14:textFill>
        </w:rPr>
        <w:t>KPI</w:t>
      </w:r>
      <w:r>
        <w:rPr>
          <w:i/>
          <w:iCs/>
          <w:color w:val="000000" w:themeColor="text1"/>
          <w:vertAlign w:val="subscript"/>
          <w14:textFill>
            <w14:solidFill>
              <w14:schemeClr w14:val="tx1"/>
            </w14:solidFill>
          </w14:textFill>
        </w:rPr>
        <w:t>Diff</w:t>
      </w:r>
      <w:r>
        <w:rPr>
          <w:i/>
          <w:iCs/>
          <w:color w:val="000000" w:themeColor="text1"/>
          <w14:textFill>
            <w14:solidFill>
              <w14:schemeClr w14:val="tx1"/>
            </w14:solidFill>
          </w14:textFill>
        </w:rPr>
        <w:t xml:space="preserve"> = (KPI</w:t>
      </w:r>
      <w:r>
        <w:rPr>
          <w:i/>
          <w:iCs/>
          <w:color w:val="000000" w:themeColor="text1"/>
          <w:vertAlign w:val="subscript"/>
          <w14:textFill>
            <w14:solidFill>
              <w14:schemeClr w14:val="tx1"/>
            </w14:solidFill>
          </w14:textFill>
        </w:rPr>
        <w:t>Actual</w:t>
      </w:r>
      <w:r>
        <w:rPr>
          <w:i/>
          <w:iCs/>
          <w:color w:val="000000" w:themeColor="text1"/>
          <w14:textFill>
            <w14:solidFill>
              <w14:schemeClr w14:val="tx1"/>
            </w14:solidFill>
          </w14:textFill>
        </w:rPr>
        <w:t xml:space="preserve"> &lt; KPI</w:t>
      </w:r>
      <w:r>
        <w:rPr>
          <w:i/>
          <w:iCs/>
          <w:color w:val="000000" w:themeColor="text1"/>
          <w:vertAlign w:val="subscript"/>
          <w14:textFill>
            <w14:solidFill>
              <w14:schemeClr w14:val="tx1"/>
            </w14:solidFill>
          </w14:textFill>
        </w:rPr>
        <w:t>th 2</w:t>
      </w:r>
      <w:r>
        <w:rPr>
          <w:i/>
          <w:iCs/>
          <w:color w:val="000000" w:themeColor="text1"/>
          <w14:textFill>
            <w14:solidFill>
              <w14:schemeClr w14:val="tx1"/>
            </w14:solidFill>
          </w14:textFill>
        </w:rPr>
        <w:t>, KPI</w:t>
      </w:r>
      <w:r>
        <w:rPr>
          <w:i/>
          <w:iCs/>
          <w:color w:val="000000" w:themeColor="text1"/>
          <w:vertAlign w:val="subscript"/>
          <w14:textFill>
            <w14:solidFill>
              <w14:schemeClr w14:val="tx1"/>
            </w14:solidFill>
          </w14:textFill>
        </w:rPr>
        <w:t>Genie</w:t>
      </w:r>
      <w:r>
        <w:rPr>
          <w:i/>
          <w:iCs/>
          <w:color w:val="000000" w:themeColor="text1"/>
          <w14:textFill>
            <w14:solidFill>
              <w14:schemeClr w14:val="tx1"/>
            </w14:solidFill>
          </w14:textFill>
        </w:rPr>
        <w:t xml:space="preserve"> &gt; KPI</w:t>
      </w:r>
      <w:r>
        <w:rPr>
          <w:i/>
          <w:iCs/>
          <w:color w:val="000000" w:themeColor="text1"/>
          <w:vertAlign w:val="subscript"/>
          <w14:textFill>
            <w14:solidFill>
              <w14:schemeClr w14:val="tx1"/>
            </w14:solidFill>
          </w14:textFill>
        </w:rPr>
        <w:t>th 3</w:t>
      </w:r>
      <w:r>
        <w:rPr>
          <w:i/>
          <w:iCs/>
          <w:color w:val="000000" w:themeColor="text1"/>
          <w14:textFill>
            <w14:solidFill>
              <w14:schemeClr w14:val="tx1"/>
            </w14:solidFill>
          </w14:textFill>
        </w:rPr>
        <w:t>)</w:t>
      </w:r>
      <w:r>
        <w:rPr>
          <w:rFonts w:hint="eastAsia" w:eastAsia="宋体"/>
          <w:i/>
          <w:iCs/>
          <w:color w:val="000000" w:themeColor="text1"/>
          <w14:textFill>
            <w14:solidFill>
              <w14:schemeClr w14:val="tx1"/>
            </w14:solidFill>
          </w14:textFill>
        </w:rPr>
        <w:t xml:space="preserve"> correspond to the </w:t>
      </w:r>
      <w:r>
        <w:rPr>
          <w:rFonts w:hint="eastAsia" w:eastAsia="宋体"/>
          <w:i/>
          <w:iCs/>
          <w:color w:val="000000" w:themeColor="text1"/>
          <w:szCs w:val="20"/>
          <w14:textFill>
            <w14:solidFill>
              <w14:schemeClr w14:val="tx1"/>
            </w14:solidFill>
          </w14:textFill>
        </w:rPr>
        <w:t>missed detection probability and false alarm probability, respectively.</w:t>
      </w:r>
    </w:p>
    <w:p>
      <w:pPr>
        <w:pStyle w:val="147"/>
        <w:numPr>
          <w:ilvl w:val="0"/>
          <w:numId w:val="9"/>
        </w:numPr>
        <w:snapToGrid w:val="0"/>
        <w:spacing w:before="72" w:after="72"/>
        <w:jc w:val="both"/>
        <w:rPr>
          <w:rFonts w:cs="Times New Roman"/>
          <w:b w:val="0"/>
          <w:color w:val="000000" w:themeColor="text1"/>
          <w:szCs w:val="20"/>
          <w:lang w:val="en-US"/>
          <w14:textFill>
            <w14:solidFill>
              <w14:schemeClr w14:val="tx1"/>
            </w14:solidFill>
          </w14:textFill>
        </w:rPr>
      </w:pPr>
      <w:r>
        <w:rPr>
          <w:rFonts w:cs="Times New Roman"/>
          <w:b w:val="0"/>
          <w:color w:val="000000" w:themeColor="text1"/>
          <w:szCs w:val="20"/>
          <w:lang w:val="en-US"/>
          <w14:textFill>
            <w14:solidFill>
              <w14:schemeClr w14:val="tx1"/>
            </w14:solidFill>
          </w14:textFill>
        </w:rPr>
        <w:t>In CSI compression using two-sided model use case, further study a set of appropriate monitoring methodology and reasonable monitoring metrics for the given KPI under rank&gt;1.</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b w:val="0"/>
          <w:color w:val="000000" w:themeColor="text1"/>
          <w:szCs w:val="20"/>
          <w:lang w:val="en-US"/>
          <w14:textFill>
            <w14:solidFill>
              <w14:schemeClr w14:val="tx1"/>
            </w14:solidFill>
          </w14:textFill>
        </w:rPr>
        <w:t xml:space="preserve">Regarding training data collection for temporal domain aspects Case 3, </w:t>
      </w:r>
      <w:r>
        <w:rPr>
          <w:rFonts w:hint="eastAsia"/>
          <w:b w:val="0"/>
          <w:color w:val="000000" w:themeColor="text1"/>
          <w:szCs w:val="20"/>
          <w:lang w:val="en-US"/>
          <w14:textFill>
            <w14:solidFill>
              <w14:schemeClr w14:val="tx1"/>
            </w14:solidFill>
          </w14:textFill>
        </w:rPr>
        <w:t>prioritize</w:t>
      </w:r>
      <w:r>
        <w:rPr>
          <w:b w:val="0"/>
          <w:color w:val="000000" w:themeColor="text1"/>
          <w:szCs w:val="20"/>
          <w:lang w:val="en-US"/>
          <w14:textFill>
            <w14:solidFill>
              <w14:schemeClr w14:val="tx1"/>
            </w14:solidFill>
          </w14:textFill>
        </w:rPr>
        <w:t xml:space="preserve"> Option 2</w:t>
      </w:r>
      <w:r>
        <w:rPr>
          <w:rFonts w:hint="eastAsia"/>
          <w:b w:val="0"/>
          <w:color w:val="000000" w:themeColor="text1"/>
          <w:szCs w:val="20"/>
          <w:lang w:val="en-US"/>
          <w14:textFill>
            <w14:solidFill>
              <w14:schemeClr w14:val="tx1"/>
            </w14:solidFill>
          </w14:textFill>
        </w:rPr>
        <w:t xml:space="preserve"> (i.e., t</w:t>
      </w:r>
      <w:r>
        <w:rPr>
          <w:b w:val="0"/>
          <w:color w:val="000000" w:themeColor="text1"/>
          <w:szCs w:val="20"/>
          <w:lang w:val="en-US"/>
          <w14:textFill>
            <w14:solidFill>
              <w14:schemeClr w14:val="tx1"/>
            </w14:solidFill>
          </w14:textFill>
        </w:rPr>
        <w:t>he target CSI for training is derived based on the measured CSI of the future slot(s)</w:t>
      </w:r>
      <w:r>
        <w:rPr>
          <w:rFonts w:hint="eastAsia"/>
          <w:b w:val="0"/>
          <w:color w:val="000000" w:themeColor="text1"/>
          <w:szCs w:val="20"/>
          <w:lang w:val="en-US"/>
          <w14:textFill>
            <w14:solidFill>
              <w14:schemeClr w14:val="tx1"/>
            </w14:solidFill>
          </w14:textFill>
        </w:rPr>
        <w:t>) due to its reduced data collection overhead and potentially higher CSI compression performance.</w:t>
      </w:r>
    </w:p>
    <w:p>
      <w:pPr>
        <w:pStyle w:val="147"/>
        <w:numPr>
          <w:numId w:val="43"/>
        </w:numPr>
        <w:snapToGrid w:val="0"/>
        <w:spacing w:before="72" w:after="72"/>
        <w:jc w:val="both"/>
        <w:rPr>
          <w:b w:val="0"/>
          <w:color w:val="000000" w:themeColor="text1"/>
          <w:szCs w:val="20"/>
          <w:lang w:val="en-US"/>
          <w14:textFill>
            <w14:solidFill>
              <w14:schemeClr w14:val="tx1"/>
            </w14:solidFill>
          </w14:textFill>
        </w:rPr>
      </w:pPr>
      <w:r>
        <w:rPr>
          <w:b w:val="0"/>
          <w:color w:val="000000" w:themeColor="text1"/>
          <w:szCs w:val="20"/>
          <w:lang w:val="en-US"/>
          <w14:textFill>
            <w14:solidFill>
              <w14:schemeClr w14:val="tx1"/>
            </w14:solidFill>
          </w14:textFill>
        </w:rPr>
        <w:t>For temporal domain aspects Case 3, prioritize separate prediction and compression, where Option 1 (i.e., the monitoring label is derived based on the predicted CSI of the future slot(s)) is used for monitoring CSI compression only.</w:t>
      </w:r>
    </w:p>
    <w:p>
      <w:pPr>
        <w:pStyle w:val="147"/>
        <w:numPr>
          <w:ilvl w:val="0"/>
          <w:numId w:val="0"/>
        </w:numPr>
        <w:snapToGrid w:val="0"/>
        <w:spacing w:before="72" w:after="72"/>
        <w:jc w:val="both"/>
        <w:rPr>
          <w:b w:val="0"/>
          <w:color w:val="000000" w:themeColor="text1"/>
          <w:szCs w:val="20"/>
          <w:lang w:val="en-US"/>
          <w14:textFill>
            <w14:solidFill>
              <w14:schemeClr w14:val="tx1"/>
            </w14:solidFill>
          </w14:textFill>
        </w:rPr>
      </w:pPr>
    </w:p>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color w:val="000000" w:themeColor="text1"/>
          <w:sz w:val="28"/>
          <w:szCs w:val="28"/>
          <w14:textFill>
            <w14:solidFill>
              <w14:schemeClr w14:val="tx1"/>
            </w14:solidFill>
          </w14:textFill>
        </w:rPr>
      </w:pPr>
      <w:r>
        <w:rPr>
          <w:rFonts w:hint="eastAsia" w:eastAsia="宋体"/>
          <w:b/>
          <w:color w:val="000000" w:themeColor="text1"/>
          <w:sz w:val="28"/>
          <w:szCs w:val="28"/>
          <w14:textFill>
            <w14:solidFill>
              <w14:schemeClr w14:val="tx1"/>
            </w14:solidFill>
          </w14:textFill>
        </w:rPr>
        <w:t>References</w:t>
      </w:r>
    </w:p>
    <w:p>
      <w:pPr>
        <w:pStyle w:val="75"/>
        <w:numPr>
          <w:ilvl w:val="0"/>
          <w:numId w:val="45"/>
        </w:numPr>
        <w:snapToGrid w:val="0"/>
        <w:spacing w:before="72" w:beforeLines="30" w:after="72" w:afterLines="30" w:line="288" w:lineRule="auto"/>
        <w:jc w:val="both"/>
        <w:rPr>
          <w:color w:val="000000" w:themeColor="text1"/>
          <w:sz w:val="20"/>
          <w14:textFill>
            <w14:solidFill>
              <w14:schemeClr w14:val="tx1"/>
            </w14:solidFill>
          </w14:textFill>
        </w:rPr>
      </w:pPr>
      <w:r>
        <w:rPr>
          <w:color w:val="000000" w:themeColor="text1"/>
          <w:sz w:val="20"/>
          <w14:textFill>
            <w14:solidFill>
              <w14:schemeClr w14:val="tx1"/>
            </w14:solidFill>
          </w14:textFill>
        </w:rPr>
        <w:t>RP-242399 Revised WID for NR_AIML_air, RAN#105.</w:t>
      </w:r>
    </w:p>
    <w:p>
      <w:pPr>
        <w:pStyle w:val="75"/>
        <w:numPr>
          <w:ilvl w:val="0"/>
          <w:numId w:val="45"/>
        </w:numPr>
        <w:snapToGrid w:val="0"/>
        <w:spacing w:before="72" w:beforeLines="30" w:after="72" w:afterLines="30" w:line="288" w:lineRule="auto"/>
        <w:jc w:val="both"/>
        <w:rPr>
          <w:color w:val="000000" w:themeColor="text1"/>
          <w:sz w:val="20"/>
          <w14:textFill>
            <w14:solidFill>
              <w14:schemeClr w14:val="tx1"/>
            </w14:solidFill>
          </w14:textFill>
        </w:rPr>
      </w:pPr>
      <w:r>
        <w:rPr>
          <w:color w:val="000000" w:themeColor="text1"/>
          <w:sz w:val="20"/>
          <w14:textFill>
            <w14:solidFill>
              <w14:schemeClr w14:val="tx1"/>
            </w14:solidFill>
          </w14:textFill>
        </w:rPr>
        <w:t>Chairman’s notes, RAN1#1</w:t>
      </w:r>
      <w:r>
        <w:rPr>
          <w:rFonts w:hint="eastAsia"/>
          <w:color w:val="000000" w:themeColor="text1"/>
          <w:sz w:val="20"/>
          <w14:textFill>
            <w14:solidFill>
              <w14:schemeClr w14:val="tx1"/>
            </w14:solidFill>
          </w14:textFill>
        </w:rPr>
        <w:t>20</w:t>
      </w:r>
      <w:r>
        <w:rPr>
          <w:rFonts w:hint="eastAsia"/>
          <w:color w:val="000000" w:themeColor="text1"/>
          <w:sz w:val="20"/>
          <w:lang w:val="en-US" w:eastAsia="zh-CN"/>
          <w14:textFill>
            <w14:solidFill>
              <w14:schemeClr w14:val="tx1"/>
            </w14:solidFill>
          </w14:textFill>
        </w:rPr>
        <w:t>b</w:t>
      </w:r>
      <w:r>
        <w:rPr>
          <w:color w:val="000000" w:themeColor="text1"/>
          <w:sz w:val="20"/>
          <w14:textFill>
            <w14:solidFill>
              <w14:schemeClr w14:val="tx1"/>
            </w14:solidFill>
          </w14:textFill>
        </w:rPr>
        <w:t>.</w:t>
      </w:r>
    </w:p>
    <w:p>
      <w:pPr>
        <w:pStyle w:val="75"/>
        <w:numPr>
          <w:ilvl w:val="0"/>
          <w:numId w:val="45"/>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R</w:t>
      </w:r>
      <w:r>
        <w:rPr>
          <w:rFonts w:hint="eastAsia"/>
          <w:color w:val="000000" w:themeColor="text1"/>
          <w:sz w:val="20"/>
          <w:lang w:val="en-US" w:eastAsia="zh-CN"/>
          <w14:textFill>
            <w14:solidFill>
              <w14:schemeClr w14:val="tx1"/>
            </w14:solidFill>
          </w14:textFill>
        </w:rPr>
        <w:t>1</w:t>
      </w:r>
      <w:r>
        <w:rPr>
          <w:rFonts w:hint="eastAsia"/>
          <w:color w:val="000000" w:themeColor="text1"/>
          <w:sz w:val="20"/>
          <w14:textFill>
            <w14:solidFill>
              <w14:schemeClr w14:val="tx1"/>
            </w14:solidFill>
          </w14:textFill>
        </w:rPr>
        <w:t>-2406057, Discussion on study for AI/ML CSI compression, ZTE Corporation, RAN1#118</w:t>
      </w:r>
      <w:r>
        <w:rPr>
          <w:rFonts w:hint="eastAsia"/>
          <w:color w:val="000000" w:themeColor="text1"/>
          <w:sz w:val="20"/>
          <w:lang w:val="en-US" w:eastAsia="zh-CN"/>
          <w14:textFill>
            <w14:solidFill>
              <w14:schemeClr w14:val="tx1"/>
            </w14:solidFill>
          </w14:textFill>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2821E3E"/>
    <w:multiLevelType w:val="multilevel"/>
    <w:tmpl w:val="82821E3E"/>
    <w:lvl w:ilvl="0" w:tentative="0">
      <w:start w:val="1"/>
      <w:numFmt w:val="bullet"/>
      <w:lvlText w:val=""/>
      <w:lvlJc w:val="left"/>
      <w:pPr>
        <w:ind w:left="420" w:hanging="420"/>
      </w:pPr>
      <w:rPr>
        <w:rFonts w:hint="default" w:ascii="Wingdings" w:hAnsi="Wingdings"/>
        <w:sz w:val="13"/>
        <w:szCs w:val="13"/>
      </w:rPr>
    </w:lvl>
    <w:lvl w:ilvl="1" w:tentative="0">
      <w:start w:val="1"/>
      <w:numFmt w:val="bullet"/>
      <w:lvlText w:val=""/>
      <w:lvlJc w:val="left"/>
      <w:pPr>
        <w:tabs>
          <w:tab w:val="left" w:pos="840"/>
        </w:tabs>
        <w:ind w:left="840" w:hanging="420"/>
      </w:pPr>
      <w:rPr>
        <w:rFonts w:hint="default" w:ascii="Wingdings" w:hAnsi="Wingdings"/>
        <w:sz w:val="13"/>
        <w:szCs w:val="13"/>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DC8657B7"/>
    <w:multiLevelType w:val="singleLevel"/>
    <w:tmpl w:val="DC8657B7"/>
    <w:lvl w:ilvl="0" w:tentative="0">
      <w:start w:val="1"/>
      <w:numFmt w:val="bullet"/>
      <w:lvlText w:val=""/>
      <w:lvlJc w:val="left"/>
      <w:pPr>
        <w:tabs>
          <w:tab w:val="left" w:pos="-420"/>
        </w:tabs>
        <w:ind w:left="0" w:hanging="420"/>
      </w:pPr>
      <w:rPr>
        <w:rFonts w:hint="default" w:ascii="Wingdings" w:hAnsi="Wingdings"/>
        <w:sz w:val="13"/>
        <w:szCs w:val="13"/>
      </w:rPr>
    </w:lvl>
  </w:abstractNum>
  <w:abstractNum w:abstractNumId="4">
    <w:nsid w:val="F5B27AAA"/>
    <w:multiLevelType w:val="multilevel"/>
    <w:tmpl w:val="F5B27AA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FBC545B1"/>
    <w:multiLevelType w:val="multilevel"/>
    <w:tmpl w:val="FBC545B1"/>
    <w:lvl w:ilvl="0" w:tentative="0">
      <w:start w:val="1"/>
      <w:numFmt w:val="decimal"/>
      <w:pStyle w:val="36"/>
      <w:suff w:val="nothing"/>
      <w:lvlText w:val="Proposal %1:"/>
      <w:lvlJc w:val="left"/>
      <w:pPr>
        <w:ind w:left="0" w:firstLine="403"/>
      </w:pPr>
      <w:rPr>
        <w:rFonts w:hint="default"/>
      </w:rPr>
    </w:lvl>
    <w:lvl w:ilvl="1" w:tentative="0">
      <w:start w:val="1"/>
      <w:numFmt w:val="lowerLetter"/>
      <w:lvlText w:val="%2)"/>
      <w:lvlJc w:val="left"/>
      <w:pPr>
        <w:tabs>
          <w:tab w:val="left" w:pos="840"/>
        </w:tabs>
        <w:ind w:left="1243" w:hanging="420"/>
      </w:pPr>
      <w:rPr>
        <w:rFonts w:hint="default"/>
      </w:rPr>
    </w:lvl>
    <w:lvl w:ilvl="2" w:tentative="0">
      <w:start w:val="1"/>
      <w:numFmt w:val="lowerRoman"/>
      <w:lvlText w:val="%3."/>
      <w:lvlJc w:val="left"/>
      <w:pPr>
        <w:tabs>
          <w:tab w:val="left" w:pos="1260"/>
        </w:tabs>
        <w:ind w:left="1663" w:hanging="420"/>
      </w:pPr>
      <w:rPr>
        <w:rFonts w:hint="default"/>
      </w:rPr>
    </w:lvl>
    <w:lvl w:ilvl="3" w:tentative="0">
      <w:start w:val="1"/>
      <w:numFmt w:val="decimal"/>
      <w:lvlText w:val="%4."/>
      <w:lvlJc w:val="left"/>
      <w:pPr>
        <w:tabs>
          <w:tab w:val="left" w:pos="1680"/>
        </w:tabs>
        <w:ind w:left="2083" w:hanging="420"/>
      </w:pPr>
      <w:rPr>
        <w:rFonts w:hint="default"/>
      </w:rPr>
    </w:lvl>
    <w:lvl w:ilvl="4" w:tentative="0">
      <w:start w:val="1"/>
      <w:numFmt w:val="lowerLetter"/>
      <w:lvlText w:val="%5)"/>
      <w:lvlJc w:val="left"/>
      <w:pPr>
        <w:tabs>
          <w:tab w:val="left" w:pos="2100"/>
        </w:tabs>
        <w:ind w:left="2503" w:hanging="420"/>
      </w:pPr>
      <w:rPr>
        <w:rFonts w:hint="default"/>
      </w:rPr>
    </w:lvl>
    <w:lvl w:ilvl="5" w:tentative="0">
      <w:start w:val="1"/>
      <w:numFmt w:val="lowerRoman"/>
      <w:lvlText w:val="%6."/>
      <w:lvlJc w:val="left"/>
      <w:pPr>
        <w:tabs>
          <w:tab w:val="left" w:pos="2520"/>
        </w:tabs>
        <w:ind w:left="2923" w:hanging="420"/>
      </w:pPr>
      <w:rPr>
        <w:rFonts w:hint="default"/>
      </w:rPr>
    </w:lvl>
    <w:lvl w:ilvl="6" w:tentative="0">
      <w:start w:val="1"/>
      <w:numFmt w:val="decimal"/>
      <w:lvlText w:val="%7."/>
      <w:lvlJc w:val="left"/>
      <w:pPr>
        <w:tabs>
          <w:tab w:val="left" w:pos="2940"/>
        </w:tabs>
        <w:ind w:left="3343" w:hanging="420"/>
      </w:pPr>
      <w:rPr>
        <w:rFonts w:hint="default"/>
      </w:rPr>
    </w:lvl>
    <w:lvl w:ilvl="7" w:tentative="0">
      <w:start w:val="1"/>
      <w:numFmt w:val="lowerLetter"/>
      <w:lvlText w:val="%8)"/>
      <w:lvlJc w:val="left"/>
      <w:pPr>
        <w:tabs>
          <w:tab w:val="left" w:pos="3360"/>
        </w:tabs>
        <w:ind w:left="3763" w:hanging="420"/>
      </w:pPr>
      <w:rPr>
        <w:rFonts w:hint="default"/>
      </w:rPr>
    </w:lvl>
    <w:lvl w:ilvl="8" w:tentative="0">
      <w:start w:val="1"/>
      <w:numFmt w:val="lowerRoman"/>
      <w:lvlText w:val="%9."/>
      <w:lvlJc w:val="left"/>
      <w:pPr>
        <w:tabs>
          <w:tab w:val="left" w:pos="3780"/>
        </w:tabs>
        <w:ind w:left="4183" w:hanging="420"/>
      </w:pPr>
      <w:rPr>
        <w:rFonts w:hint="default"/>
      </w:rPr>
    </w:lvl>
  </w:abstractNum>
  <w:abstractNum w:abstractNumId="6">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6F02CD0"/>
    <w:multiLevelType w:val="multilevel"/>
    <w:tmpl w:val="06F02CD0"/>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default"/>
        <w:b/>
        <w:i w:val="0"/>
        <w:sz w:val="22"/>
        <w:szCs w:val="18"/>
      </w:rPr>
    </w:lvl>
    <w:lvl w:ilvl="2" w:tentative="0">
      <w:start w:val="1"/>
      <w:numFmt w:val="decimal"/>
      <w:lvlText w:val="%1.%2.%3"/>
      <w:lvlJc w:val="left"/>
      <w:pPr>
        <w:tabs>
          <w:tab w:val="left" w:pos="578"/>
        </w:tabs>
        <w:ind w:left="578" w:hanging="578"/>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7E92A3A"/>
    <w:multiLevelType w:val="singleLevel"/>
    <w:tmpl w:val="07E92A3A"/>
    <w:lvl w:ilvl="0" w:tentative="0">
      <w:start w:val="1"/>
      <w:numFmt w:val="bullet"/>
      <w:lvlText w:val=""/>
      <w:lvlJc w:val="left"/>
      <w:pPr>
        <w:ind w:left="420" w:hanging="420"/>
      </w:pPr>
      <w:rPr>
        <w:rFonts w:hint="default" w:ascii="Wingdings" w:hAnsi="Wingdings"/>
      </w:rPr>
    </w:lvl>
  </w:abstractNum>
  <w:abstractNum w:abstractNumId="11">
    <w:nsid w:val="0F26815B"/>
    <w:multiLevelType w:val="singleLevel"/>
    <w:tmpl w:val="0F26815B"/>
    <w:lvl w:ilvl="0" w:tentative="0">
      <w:start w:val="1"/>
      <w:numFmt w:val="bullet"/>
      <w:lvlText w:val=""/>
      <w:lvlJc w:val="left"/>
      <w:pPr>
        <w:ind w:left="420" w:hanging="420"/>
      </w:pPr>
      <w:rPr>
        <w:rFonts w:hint="default" w:ascii="Wingdings" w:hAnsi="Wingdings"/>
      </w:rPr>
    </w:lvl>
  </w:abstractNum>
  <w:abstractNum w:abstractNumId="12">
    <w:nsid w:val="109C61FE"/>
    <w:multiLevelType w:val="multilevel"/>
    <w:tmpl w:val="109C61FE"/>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3">
    <w:nsid w:val="1706772D"/>
    <w:multiLevelType w:val="multilevel"/>
    <w:tmpl w:val="1706772D"/>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4">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5">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8101521"/>
    <w:multiLevelType w:val="multilevel"/>
    <w:tmpl w:val="2810152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7">
    <w:nsid w:val="28544DF2"/>
    <w:multiLevelType w:val="singleLevel"/>
    <w:tmpl w:val="28544DF2"/>
    <w:lvl w:ilvl="0" w:tentative="0">
      <w:start w:val="1"/>
      <w:numFmt w:val="decimal"/>
      <w:pStyle w:val="133"/>
      <w:suff w:val="nothing"/>
      <w:lvlText w:val="Observation %1:"/>
      <w:lvlJc w:val="left"/>
      <w:pPr>
        <w:ind w:left="0" w:firstLine="403"/>
      </w:pPr>
      <w:rPr>
        <w:rFonts w:hint="default"/>
      </w:rPr>
    </w:lvl>
  </w:abstractNum>
  <w:abstractNum w:abstractNumId="18">
    <w:nsid w:val="31263DD5"/>
    <w:multiLevelType w:val="multilevel"/>
    <w:tmpl w:val="31263DD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3243A58"/>
    <w:multiLevelType w:val="multilevel"/>
    <w:tmpl w:val="33243A5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0">
    <w:nsid w:val="36256460"/>
    <w:multiLevelType w:val="multilevel"/>
    <w:tmpl w:val="36256460"/>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1">
    <w:nsid w:val="414657ED"/>
    <w:multiLevelType w:val="multilevel"/>
    <w:tmpl w:val="414657ED"/>
    <w:lvl w:ilvl="0" w:tentative="0">
      <w:start w:val="4"/>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strike w:val="0"/>
        <w:dstrike w:val="0"/>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42851A46"/>
    <w:multiLevelType w:val="multilevel"/>
    <w:tmpl w:val="42851A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432B7B94"/>
    <w:multiLevelType w:val="multilevel"/>
    <w:tmpl w:val="432B7B94"/>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4">
    <w:nsid w:val="459916D3"/>
    <w:multiLevelType w:val="singleLevel"/>
    <w:tmpl w:val="459916D3"/>
    <w:lvl w:ilvl="0" w:tentative="0">
      <w:start w:val="1"/>
      <w:numFmt w:val="decimal"/>
      <w:suff w:val="space"/>
      <w:lvlText w:val="[%1]"/>
      <w:lvlJc w:val="left"/>
    </w:lvl>
  </w:abstractNum>
  <w:abstractNum w:abstractNumId="25">
    <w:nsid w:val="4A55685D"/>
    <w:multiLevelType w:val="singleLevel"/>
    <w:tmpl w:val="4A55685D"/>
    <w:lvl w:ilvl="0" w:tentative="0">
      <w:start w:val="1"/>
      <w:numFmt w:val="bullet"/>
      <w:pStyle w:val="124"/>
      <w:lvlText w:val=""/>
      <w:lvlJc w:val="left"/>
      <w:pPr>
        <w:tabs>
          <w:tab w:val="left" w:pos="992"/>
        </w:tabs>
        <w:ind w:left="992" w:hanging="425"/>
      </w:pPr>
      <w:rPr>
        <w:rFonts w:hint="default" w:ascii="Symbol" w:hAnsi="Symbol"/>
      </w:rPr>
    </w:lvl>
  </w:abstractNum>
  <w:abstractNum w:abstractNumId="26">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4E167852"/>
    <w:multiLevelType w:val="multilevel"/>
    <w:tmpl w:val="4E167852"/>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8">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9">
    <w:nsid w:val="5233254E"/>
    <w:multiLevelType w:val="multilevel"/>
    <w:tmpl w:val="5233254E"/>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160" w:hanging="44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52BF1D56"/>
    <w:multiLevelType w:val="multilevel"/>
    <w:tmpl w:val="52BF1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54F45166"/>
    <w:multiLevelType w:val="multilevel"/>
    <w:tmpl w:val="54F451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2">
    <w:nsid w:val="5BFC153E"/>
    <w:multiLevelType w:val="multilevel"/>
    <w:tmpl w:val="5BFC153E"/>
    <w:lvl w:ilvl="0" w:tentative="0">
      <w:start w:val="1"/>
      <w:numFmt w:val="bullet"/>
      <w:lvlText w:val="•"/>
      <w:lvlJc w:val="left"/>
      <w:pPr>
        <w:tabs>
          <w:tab w:val="left" w:pos="360"/>
        </w:tabs>
        <w:ind w:left="360" w:hanging="360"/>
      </w:pPr>
      <w:rPr>
        <w:rFonts w:hint="default" w:ascii="Arial" w:hAnsi="Arial" w:cs="Times New Roman"/>
        <w:sz w:val="20"/>
        <w:szCs w:val="20"/>
      </w:rPr>
    </w:lvl>
    <w:lvl w:ilvl="1" w:tentative="0">
      <w:start w:val="1"/>
      <w:numFmt w:val="bullet"/>
      <w:lvlText w:val="o"/>
      <w:lvlJc w:val="left"/>
      <w:pPr>
        <w:ind w:left="1440" w:hanging="360"/>
      </w:pPr>
      <w:rPr>
        <w:rFonts w:hint="default" w:ascii="Courier New" w:hAnsi="Courier New" w:cs="Courier New"/>
        <w:strike w:val="0"/>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color w:val="auto"/>
      </w:rPr>
    </w:lvl>
    <w:lvl w:ilvl="4" w:tentative="0">
      <w:start w:val="1"/>
      <w:numFmt w:val="bullet"/>
      <w:lvlText w:val="o"/>
      <w:lvlJc w:val="left"/>
      <w:pPr>
        <w:ind w:left="3600" w:hanging="360"/>
      </w:pPr>
      <w:rPr>
        <w:rFonts w:hint="default" w:ascii="Courier New" w:hAnsi="Courier New" w:cs="Courier New"/>
        <w:strike w:val="0"/>
        <w:color w:val="auto"/>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5FE3597F"/>
    <w:multiLevelType w:val="multilevel"/>
    <w:tmpl w:val="5FE359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4">
    <w:nsid w:val="626918EF"/>
    <w:multiLevelType w:val="multilevel"/>
    <w:tmpl w:val="626918EF"/>
    <w:lvl w:ilvl="0" w:tentative="0">
      <w:start w:val="1"/>
      <w:numFmt w:val="decimal"/>
      <w:pStyle w:val="147"/>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3BA1C10"/>
    <w:multiLevelType w:val="multilevel"/>
    <w:tmpl w:val="63BA1C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6A82450C"/>
    <w:multiLevelType w:val="multilevel"/>
    <w:tmpl w:val="6A82450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7">
    <w:nsid w:val="6EFB7599"/>
    <w:multiLevelType w:val="multilevel"/>
    <w:tmpl w:val="6EFB759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8">
    <w:nsid w:val="6FF425D7"/>
    <w:multiLevelType w:val="multilevel"/>
    <w:tmpl w:val="6FF425D7"/>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9">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0">
    <w:nsid w:val="70236386"/>
    <w:multiLevelType w:val="singleLevel"/>
    <w:tmpl w:val="70236386"/>
    <w:lvl w:ilvl="0" w:tentative="0">
      <w:start w:val="1"/>
      <w:numFmt w:val="bullet"/>
      <w:lvlText w:val=""/>
      <w:lvlJc w:val="left"/>
      <w:pPr>
        <w:ind w:left="420" w:hanging="420"/>
      </w:pPr>
      <w:rPr>
        <w:rFonts w:hint="default" w:ascii="Wingdings" w:hAnsi="Wingdings"/>
      </w:rPr>
    </w:lvl>
  </w:abstractNum>
  <w:abstractNum w:abstractNumId="41">
    <w:nsid w:val="70B359F3"/>
    <w:multiLevelType w:val="multilevel"/>
    <w:tmpl w:val="70B359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3A259F7"/>
    <w:multiLevelType w:val="multilevel"/>
    <w:tmpl w:val="73A259F7"/>
    <w:lvl w:ilvl="0" w:tentative="0">
      <w:start w:val="1"/>
      <w:numFmt w:val="bullet"/>
      <w:lvlText w:val=""/>
      <w:lvlJc w:val="left"/>
      <w:pPr>
        <w:tabs>
          <w:tab w:val="left" w:pos="0"/>
        </w:tabs>
        <w:ind w:left="720" w:hanging="360"/>
      </w:pPr>
      <w:rPr>
        <w:rFonts w:hint="default" w:ascii="Symbol" w:hAnsi="Symbol" w:cs="Symbol"/>
        <w:strike w:val="0"/>
        <w:dstrike w:val="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6"/>
  </w:num>
  <w:num w:numId="4">
    <w:abstractNumId w:val="43"/>
  </w:num>
  <w:num w:numId="5">
    <w:abstractNumId w:val="7"/>
  </w:num>
  <w:num w:numId="6">
    <w:abstractNumId w:val="39"/>
  </w:num>
  <w:num w:numId="7">
    <w:abstractNumId w:val="25"/>
  </w:num>
  <w:num w:numId="8">
    <w:abstractNumId w:val="17"/>
  </w:num>
  <w:num w:numId="9">
    <w:abstractNumId w:val="34"/>
  </w:num>
  <w:num w:numId="10">
    <w:abstractNumId w:val="8"/>
  </w:num>
  <w:num w:numId="11">
    <w:abstractNumId w:val="30"/>
  </w:num>
  <w:num w:numId="12">
    <w:abstractNumId w:val="31"/>
  </w:num>
  <w:num w:numId="13">
    <w:abstractNumId w:val="29"/>
  </w:num>
  <w:num w:numId="14">
    <w:abstractNumId w:val="26"/>
  </w:num>
  <w:num w:numId="15">
    <w:abstractNumId w:val="41"/>
  </w:num>
  <w:num w:numId="16">
    <w:abstractNumId w:val="11"/>
  </w:num>
  <w:num w:numId="17">
    <w:abstractNumId w:val="3"/>
  </w:num>
  <w:num w:numId="18">
    <w:abstractNumId w:val="21"/>
  </w:num>
  <w:num w:numId="19">
    <w:abstractNumId w:val="42"/>
  </w:num>
  <w:num w:numId="20">
    <w:abstractNumId w:val="40"/>
  </w:num>
  <w:num w:numId="21">
    <w:abstractNumId w:val="37"/>
  </w:num>
  <w:num w:numId="22">
    <w:abstractNumId w:val="18"/>
  </w:num>
  <w:num w:numId="23">
    <w:abstractNumId w:val="36"/>
  </w:num>
  <w:num w:numId="24">
    <w:abstractNumId w:val="32"/>
  </w:num>
  <w:num w:numId="25">
    <w:abstractNumId w:val="1"/>
  </w:num>
  <w:num w:numId="26">
    <w:abstractNumId w:val="28"/>
  </w:num>
  <w:num w:numId="27">
    <w:abstractNumId w:val="4"/>
  </w:num>
  <w:num w:numId="28">
    <w:abstractNumId w:val="2"/>
  </w:num>
  <w:num w:numId="29">
    <w:abstractNumId w:val="38"/>
  </w:num>
  <w:num w:numId="30">
    <w:abstractNumId w:val="12"/>
  </w:num>
  <w:num w:numId="31">
    <w:abstractNumId w:val="22"/>
  </w:num>
  <w:num w:numId="32">
    <w:abstractNumId w:val="23"/>
  </w:num>
  <w:num w:numId="33">
    <w:abstractNumId w:val="19"/>
  </w:num>
  <w:num w:numId="34">
    <w:abstractNumId w:val="33"/>
  </w:num>
  <w:num w:numId="35">
    <w:abstractNumId w:val="9"/>
  </w:num>
  <w:num w:numId="36">
    <w:abstractNumId w:val="15"/>
  </w:num>
  <w:num w:numId="37">
    <w:abstractNumId w:val="14"/>
  </w:num>
  <w:num w:numId="38">
    <w:abstractNumId w:val="35"/>
  </w:num>
  <w:num w:numId="39">
    <w:abstractNumId w:val="20"/>
  </w:num>
  <w:num w:numId="40">
    <w:abstractNumId w:val="27"/>
  </w:num>
  <w:num w:numId="41">
    <w:abstractNumId w:val="13"/>
  </w:num>
  <w:num w:numId="42">
    <w:abstractNumId w:val="16"/>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18D"/>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40D"/>
    <w:rsid w:val="00003A61"/>
    <w:rsid w:val="00003B58"/>
    <w:rsid w:val="00003F32"/>
    <w:rsid w:val="000044E2"/>
    <w:rsid w:val="00004558"/>
    <w:rsid w:val="000049AC"/>
    <w:rsid w:val="00004ED1"/>
    <w:rsid w:val="000051C4"/>
    <w:rsid w:val="0000557C"/>
    <w:rsid w:val="000055D1"/>
    <w:rsid w:val="00005762"/>
    <w:rsid w:val="000057B9"/>
    <w:rsid w:val="00006192"/>
    <w:rsid w:val="000062AC"/>
    <w:rsid w:val="000064CE"/>
    <w:rsid w:val="000066C6"/>
    <w:rsid w:val="000066E7"/>
    <w:rsid w:val="00006711"/>
    <w:rsid w:val="000068DA"/>
    <w:rsid w:val="00006A0E"/>
    <w:rsid w:val="00006D23"/>
    <w:rsid w:val="0000705B"/>
    <w:rsid w:val="0000711D"/>
    <w:rsid w:val="0000728F"/>
    <w:rsid w:val="00007304"/>
    <w:rsid w:val="00007880"/>
    <w:rsid w:val="00007AC2"/>
    <w:rsid w:val="00007EEB"/>
    <w:rsid w:val="00010512"/>
    <w:rsid w:val="0001054F"/>
    <w:rsid w:val="00010969"/>
    <w:rsid w:val="00010A7B"/>
    <w:rsid w:val="00010AF9"/>
    <w:rsid w:val="00010F90"/>
    <w:rsid w:val="000114F8"/>
    <w:rsid w:val="000115F1"/>
    <w:rsid w:val="00011890"/>
    <w:rsid w:val="000118E9"/>
    <w:rsid w:val="00011BB4"/>
    <w:rsid w:val="00011C8C"/>
    <w:rsid w:val="00011CE0"/>
    <w:rsid w:val="000123B6"/>
    <w:rsid w:val="000123C2"/>
    <w:rsid w:val="000128EC"/>
    <w:rsid w:val="00012E08"/>
    <w:rsid w:val="00012E58"/>
    <w:rsid w:val="000130B1"/>
    <w:rsid w:val="0001318F"/>
    <w:rsid w:val="0001320E"/>
    <w:rsid w:val="000132A2"/>
    <w:rsid w:val="00013C5E"/>
    <w:rsid w:val="00013DBF"/>
    <w:rsid w:val="00013DD9"/>
    <w:rsid w:val="00013F98"/>
    <w:rsid w:val="00014115"/>
    <w:rsid w:val="000141EE"/>
    <w:rsid w:val="0001445A"/>
    <w:rsid w:val="00014604"/>
    <w:rsid w:val="000148CB"/>
    <w:rsid w:val="00014AB1"/>
    <w:rsid w:val="00014C6F"/>
    <w:rsid w:val="00015086"/>
    <w:rsid w:val="00015407"/>
    <w:rsid w:val="0001555C"/>
    <w:rsid w:val="00015591"/>
    <w:rsid w:val="000159F7"/>
    <w:rsid w:val="000161DF"/>
    <w:rsid w:val="000164F2"/>
    <w:rsid w:val="0001670E"/>
    <w:rsid w:val="00016BE3"/>
    <w:rsid w:val="00016C7B"/>
    <w:rsid w:val="000176E5"/>
    <w:rsid w:val="00017916"/>
    <w:rsid w:val="0001796D"/>
    <w:rsid w:val="00017CFA"/>
    <w:rsid w:val="00017E5A"/>
    <w:rsid w:val="00020252"/>
    <w:rsid w:val="0002047C"/>
    <w:rsid w:val="0002066E"/>
    <w:rsid w:val="0002083F"/>
    <w:rsid w:val="00020A82"/>
    <w:rsid w:val="00020B43"/>
    <w:rsid w:val="00020ECF"/>
    <w:rsid w:val="000215D1"/>
    <w:rsid w:val="0002160B"/>
    <w:rsid w:val="00021644"/>
    <w:rsid w:val="0002192C"/>
    <w:rsid w:val="00021A96"/>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0EA"/>
    <w:rsid w:val="000244B9"/>
    <w:rsid w:val="000244CA"/>
    <w:rsid w:val="00024585"/>
    <w:rsid w:val="00024878"/>
    <w:rsid w:val="00025086"/>
    <w:rsid w:val="00025226"/>
    <w:rsid w:val="00025417"/>
    <w:rsid w:val="0002552D"/>
    <w:rsid w:val="00025695"/>
    <w:rsid w:val="000257BD"/>
    <w:rsid w:val="00025F6C"/>
    <w:rsid w:val="000263F8"/>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850"/>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1D1"/>
    <w:rsid w:val="0003435B"/>
    <w:rsid w:val="00034540"/>
    <w:rsid w:val="00034779"/>
    <w:rsid w:val="000352E3"/>
    <w:rsid w:val="0003537A"/>
    <w:rsid w:val="000354E6"/>
    <w:rsid w:val="00035A71"/>
    <w:rsid w:val="00035F7E"/>
    <w:rsid w:val="00036055"/>
    <w:rsid w:val="00036250"/>
    <w:rsid w:val="00037216"/>
    <w:rsid w:val="00037260"/>
    <w:rsid w:val="0003750E"/>
    <w:rsid w:val="00037AF2"/>
    <w:rsid w:val="00037B45"/>
    <w:rsid w:val="00037F59"/>
    <w:rsid w:val="000402A0"/>
    <w:rsid w:val="0004047C"/>
    <w:rsid w:val="00040FF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82"/>
    <w:rsid w:val="00043F31"/>
    <w:rsid w:val="000443DB"/>
    <w:rsid w:val="000445CC"/>
    <w:rsid w:val="00044C0B"/>
    <w:rsid w:val="00044D7E"/>
    <w:rsid w:val="00044FF3"/>
    <w:rsid w:val="00045012"/>
    <w:rsid w:val="000450E9"/>
    <w:rsid w:val="00045244"/>
    <w:rsid w:val="00045271"/>
    <w:rsid w:val="000454E2"/>
    <w:rsid w:val="000458E6"/>
    <w:rsid w:val="00045E51"/>
    <w:rsid w:val="00045F11"/>
    <w:rsid w:val="0004618C"/>
    <w:rsid w:val="00046414"/>
    <w:rsid w:val="00046DB1"/>
    <w:rsid w:val="00046EFA"/>
    <w:rsid w:val="000476D8"/>
    <w:rsid w:val="00047EFF"/>
    <w:rsid w:val="00050153"/>
    <w:rsid w:val="000505BE"/>
    <w:rsid w:val="000507D8"/>
    <w:rsid w:val="00050932"/>
    <w:rsid w:val="00050FC3"/>
    <w:rsid w:val="00051864"/>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08"/>
    <w:rsid w:val="00054550"/>
    <w:rsid w:val="0005463C"/>
    <w:rsid w:val="00054700"/>
    <w:rsid w:val="000549F0"/>
    <w:rsid w:val="00054A38"/>
    <w:rsid w:val="00054B6B"/>
    <w:rsid w:val="00055487"/>
    <w:rsid w:val="000554D2"/>
    <w:rsid w:val="00055624"/>
    <w:rsid w:val="000557A3"/>
    <w:rsid w:val="0005594E"/>
    <w:rsid w:val="000559F1"/>
    <w:rsid w:val="00055F68"/>
    <w:rsid w:val="00056DB6"/>
    <w:rsid w:val="0005716B"/>
    <w:rsid w:val="000573A2"/>
    <w:rsid w:val="0005757D"/>
    <w:rsid w:val="00057750"/>
    <w:rsid w:val="00057AC7"/>
    <w:rsid w:val="00057CF8"/>
    <w:rsid w:val="00057EA7"/>
    <w:rsid w:val="00060094"/>
    <w:rsid w:val="000600F5"/>
    <w:rsid w:val="000602B6"/>
    <w:rsid w:val="00060A5D"/>
    <w:rsid w:val="00060B08"/>
    <w:rsid w:val="00060BF4"/>
    <w:rsid w:val="00061065"/>
    <w:rsid w:val="0006126A"/>
    <w:rsid w:val="0006184A"/>
    <w:rsid w:val="000618CF"/>
    <w:rsid w:val="00061D38"/>
    <w:rsid w:val="00061DB6"/>
    <w:rsid w:val="0006201D"/>
    <w:rsid w:val="0006222E"/>
    <w:rsid w:val="000624B4"/>
    <w:rsid w:val="00062559"/>
    <w:rsid w:val="000627C2"/>
    <w:rsid w:val="00062AF2"/>
    <w:rsid w:val="00062D55"/>
    <w:rsid w:val="00062DBD"/>
    <w:rsid w:val="00062F51"/>
    <w:rsid w:val="0006302F"/>
    <w:rsid w:val="000631EB"/>
    <w:rsid w:val="000634C1"/>
    <w:rsid w:val="000635A2"/>
    <w:rsid w:val="00063837"/>
    <w:rsid w:val="00063984"/>
    <w:rsid w:val="00063A8D"/>
    <w:rsid w:val="00063D7B"/>
    <w:rsid w:val="00063F73"/>
    <w:rsid w:val="000640A6"/>
    <w:rsid w:val="0006414C"/>
    <w:rsid w:val="000644E3"/>
    <w:rsid w:val="0006451A"/>
    <w:rsid w:val="0006472F"/>
    <w:rsid w:val="00064A6C"/>
    <w:rsid w:val="00064DAC"/>
    <w:rsid w:val="0006502F"/>
    <w:rsid w:val="000651DD"/>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882"/>
    <w:rsid w:val="00067F36"/>
    <w:rsid w:val="0007032F"/>
    <w:rsid w:val="000703F0"/>
    <w:rsid w:val="000705AE"/>
    <w:rsid w:val="0007066B"/>
    <w:rsid w:val="00070889"/>
    <w:rsid w:val="00071399"/>
    <w:rsid w:val="00071407"/>
    <w:rsid w:val="00071CCB"/>
    <w:rsid w:val="00071F92"/>
    <w:rsid w:val="000724B6"/>
    <w:rsid w:val="00072AD9"/>
    <w:rsid w:val="00072E2E"/>
    <w:rsid w:val="0007309B"/>
    <w:rsid w:val="000738FD"/>
    <w:rsid w:val="00073927"/>
    <w:rsid w:val="00073A92"/>
    <w:rsid w:val="00073B10"/>
    <w:rsid w:val="00073B5E"/>
    <w:rsid w:val="000746E8"/>
    <w:rsid w:val="00074775"/>
    <w:rsid w:val="00074888"/>
    <w:rsid w:val="00074A32"/>
    <w:rsid w:val="00074B8B"/>
    <w:rsid w:val="000750E0"/>
    <w:rsid w:val="000757C4"/>
    <w:rsid w:val="00075A6E"/>
    <w:rsid w:val="00075E20"/>
    <w:rsid w:val="00075F46"/>
    <w:rsid w:val="0007636A"/>
    <w:rsid w:val="000764DA"/>
    <w:rsid w:val="000765D9"/>
    <w:rsid w:val="000768A6"/>
    <w:rsid w:val="0007696E"/>
    <w:rsid w:val="0007723B"/>
    <w:rsid w:val="000773AE"/>
    <w:rsid w:val="000775EA"/>
    <w:rsid w:val="000776AF"/>
    <w:rsid w:val="00077902"/>
    <w:rsid w:val="00077A8A"/>
    <w:rsid w:val="00077BF8"/>
    <w:rsid w:val="00077CAD"/>
    <w:rsid w:val="00077EB8"/>
    <w:rsid w:val="000800AF"/>
    <w:rsid w:val="000801BC"/>
    <w:rsid w:val="0008046A"/>
    <w:rsid w:val="00080610"/>
    <w:rsid w:val="0008086E"/>
    <w:rsid w:val="00080A41"/>
    <w:rsid w:val="00080A89"/>
    <w:rsid w:val="00080B1E"/>
    <w:rsid w:val="00080BB6"/>
    <w:rsid w:val="0008126C"/>
    <w:rsid w:val="0008147E"/>
    <w:rsid w:val="00081546"/>
    <w:rsid w:val="000816E9"/>
    <w:rsid w:val="000819A5"/>
    <w:rsid w:val="00082030"/>
    <w:rsid w:val="000822F4"/>
    <w:rsid w:val="00082415"/>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9C7"/>
    <w:rsid w:val="00087CA2"/>
    <w:rsid w:val="00087D8E"/>
    <w:rsid w:val="00090059"/>
    <w:rsid w:val="000900D3"/>
    <w:rsid w:val="000902F8"/>
    <w:rsid w:val="000903CA"/>
    <w:rsid w:val="0009050D"/>
    <w:rsid w:val="00090B8B"/>
    <w:rsid w:val="00090C79"/>
    <w:rsid w:val="00090D90"/>
    <w:rsid w:val="00090E09"/>
    <w:rsid w:val="0009101D"/>
    <w:rsid w:val="000913B2"/>
    <w:rsid w:val="00091853"/>
    <w:rsid w:val="00091ABB"/>
    <w:rsid w:val="00091D48"/>
    <w:rsid w:val="000920BD"/>
    <w:rsid w:val="000929EA"/>
    <w:rsid w:val="00092A5C"/>
    <w:rsid w:val="00092B46"/>
    <w:rsid w:val="00092C57"/>
    <w:rsid w:val="00092CCA"/>
    <w:rsid w:val="00093082"/>
    <w:rsid w:val="0009334E"/>
    <w:rsid w:val="000934B3"/>
    <w:rsid w:val="00094282"/>
    <w:rsid w:val="0009487E"/>
    <w:rsid w:val="00094955"/>
    <w:rsid w:val="0009551E"/>
    <w:rsid w:val="000955A4"/>
    <w:rsid w:val="00095C3A"/>
    <w:rsid w:val="00096946"/>
    <w:rsid w:val="00096998"/>
    <w:rsid w:val="00096B1B"/>
    <w:rsid w:val="00096FC1"/>
    <w:rsid w:val="00097059"/>
    <w:rsid w:val="00097434"/>
    <w:rsid w:val="0009766A"/>
    <w:rsid w:val="000976F6"/>
    <w:rsid w:val="00097842"/>
    <w:rsid w:val="000979FA"/>
    <w:rsid w:val="00097C34"/>
    <w:rsid w:val="00097EE4"/>
    <w:rsid w:val="000A0282"/>
    <w:rsid w:val="000A030E"/>
    <w:rsid w:val="000A0328"/>
    <w:rsid w:val="000A06DC"/>
    <w:rsid w:val="000A1279"/>
    <w:rsid w:val="000A13C0"/>
    <w:rsid w:val="000A1428"/>
    <w:rsid w:val="000A145E"/>
    <w:rsid w:val="000A163D"/>
    <w:rsid w:val="000A1A8F"/>
    <w:rsid w:val="000A1AB7"/>
    <w:rsid w:val="000A1C7B"/>
    <w:rsid w:val="000A1C7D"/>
    <w:rsid w:val="000A1E25"/>
    <w:rsid w:val="000A1E32"/>
    <w:rsid w:val="000A23F3"/>
    <w:rsid w:val="000A2795"/>
    <w:rsid w:val="000A2ADC"/>
    <w:rsid w:val="000A2BC2"/>
    <w:rsid w:val="000A2BF8"/>
    <w:rsid w:val="000A33DB"/>
    <w:rsid w:val="000A3500"/>
    <w:rsid w:val="000A3632"/>
    <w:rsid w:val="000A383F"/>
    <w:rsid w:val="000A3B66"/>
    <w:rsid w:val="000A3C1B"/>
    <w:rsid w:val="000A4263"/>
    <w:rsid w:val="000A436D"/>
    <w:rsid w:val="000A46E3"/>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AE"/>
    <w:rsid w:val="000B4DBC"/>
    <w:rsid w:val="000B5361"/>
    <w:rsid w:val="000B5922"/>
    <w:rsid w:val="000B5A19"/>
    <w:rsid w:val="000B5EF1"/>
    <w:rsid w:val="000B606A"/>
    <w:rsid w:val="000B6302"/>
    <w:rsid w:val="000B697D"/>
    <w:rsid w:val="000B6CCA"/>
    <w:rsid w:val="000B6E5F"/>
    <w:rsid w:val="000B7775"/>
    <w:rsid w:val="000B790A"/>
    <w:rsid w:val="000B7A70"/>
    <w:rsid w:val="000B7B43"/>
    <w:rsid w:val="000B7E5A"/>
    <w:rsid w:val="000B7F7B"/>
    <w:rsid w:val="000C04EB"/>
    <w:rsid w:val="000C050C"/>
    <w:rsid w:val="000C08A3"/>
    <w:rsid w:val="000C09F6"/>
    <w:rsid w:val="000C0D98"/>
    <w:rsid w:val="000C0E9F"/>
    <w:rsid w:val="000C10C4"/>
    <w:rsid w:val="000C11B9"/>
    <w:rsid w:val="000C1238"/>
    <w:rsid w:val="000C124C"/>
    <w:rsid w:val="000C1C26"/>
    <w:rsid w:val="000C207A"/>
    <w:rsid w:val="000C2537"/>
    <w:rsid w:val="000C25BD"/>
    <w:rsid w:val="000C2810"/>
    <w:rsid w:val="000C2A7B"/>
    <w:rsid w:val="000C2C74"/>
    <w:rsid w:val="000C3027"/>
    <w:rsid w:val="000C33BB"/>
    <w:rsid w:val="000C3781"/>
    <w:rsid w:val="000C395E"/>
    <w:rsid w:val="000C3BDA"/>
    <w:rsid w:val="000C40AB"/>
    <w:rsid w:val="000C4240"/>
    <w:rsid w:val="000C429A"/>
    <w:rsid w:val="000C45FE"/>
    <w:rsid w:val="000C4972"/>
    <w:rsid w:val="000C4DFC"/>
    <w:rsid w:val="000C4ECD"/>
    <w:rsid w:val="000C577F"/>
    <w:rsid w:val="000C5E7D"/>
    <w:rsid w:val="000C62FC"/>
    <w:rsid w:val="000C64C0"/>
    <w:rsid w:val="000C6C88"/>
    <w:rsid w:val="000C735C"/>
    <w:rsid w:val="000C7443"/>
    <w:rsid w:val="000C7512"/>
    <w:rsid w:val="000C7C6A"/>
    <w:rsid w:val="000C7D1C"/>
    <w:rsid w:val="000D05EC"/>
    <w:rsid w:val="000D09B9"/>
    <w:rsid w:val="000D0C3A"/>
    <w:rsid w:val="000D0E32"/>
    <w:rsid w:val="000D152D"/>
    <w:rsid w:val="000D163C"/>
    <w:rsid w:val="000D174F"/>
    <w:rsid w:val="000D1A03"/>
    <w:rsid w:val="000D1AB9"/>
    <w:rsid w:val="000D1B0E"/>
    <w:rsid w:val="000D1BD9"/>
    <w:rsid w:val="000D2665"/>
    <w:rsid w:val="000D2AF0"/>
    <w:rsid w:val="000D2C0B"/>
    <w:rsid w:val="000D33FF"/>
    <w:rsid w:val="000D3518"/>
    <w:rsid w:val="000D390D"/>
    <w:rsid w:val="000D3C7C"/>
    <w:rsid w:val="000D3D1E"/>
    <w:rsid w:val="000D3F3F"/>
    <w:rsid w:val="000D45CC"/>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112"/>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9DD"/>
    <w:rsid w:val="000E2F5A"/>
    <w:rsid w:val="000E30C6"/>
    <w:rsid w:val="000E317B"/>
    <w:rsid w:val="000E31C9"/>
    <w:rsid w:val="000E3520"/>
    <w:rsid w:val="000E3537"/>
    <w:rsid w:val="000E36A4"/>
    <w:rsid w:val="000E3D52"/>
    <w:rsid w:val="000E3D57"/>
    <w:rsid w:val="000E3E09"/>
    <w:rsid w:val="000E3FC6"/>
    <w:rsid w:val="000E4225"/>
    <w:rsid w:val="000E4271"/>
    <w:rsid w:val="000E469B"/>
    <w:rsid w:val="000E484F"/>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056"/>
    <w:rsid w:val="000F00D8"/>
    <w:rsid w:val="000F01A6"/>
    <w:rsid w:val="000F01F5"/>
    <w:rsid w:val="000F0429"/>
    <w:rsid w:val="000F068F"/>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8B1"/>
    <w:rsid w:val="000F2BA8"/>
    <w:rsid w:val="000F3166"/>
    <w:rsid w:val="000F374D"/>
    <w:rsid w:val="000F3AB4"/>
    <w:rsid w:val="000F43B9"/>
    <w:rsid w:val="000F447C"/>
    <w:rsid w:val="000F4528"/>
    <w:rsid w:val="000F4551"/>
    <w:rsid w:val="000F4832"/>
    <w:rsid w:val="000F48F4"/>
    <w:rsid w:val="000F4AE3"/>
    <w:rsid w:val="000F4E7F"/>
    <w:rsid w:val="000F4FBF"/>
    <w:rsid w:val="000F5901"/>
    <w:rsid w:val="000F5DEF"/>
    <w:rsid w:val="000F5E06"/>
    <w:rsid w:val="000F6186"/>
    <w:rsid w:val="000F6199"/>
    <w:rsid w:val="000F62B5"/>
    <w:rsid w:val="000F6740"/>
    <w:rsid w:val="000F6F20"/>
    <w:rsid w:val="000F7238"/>
    <w:rsid w:val="000F72C3"/>
    <w:rsid w:val="000F734D"/>
    <w:rsid w:val="000F750D"/>
    <w:rsid w:val="000F7565"/>
    <w:rsid w:val="000F782D"/>
    <w:rsid w:val="000F7891"/>
    <w:rsid w:val="000F78D2"/>
    <w:rsid w:val="000F7B68"/>
    <w:rsid w:val="000F7B96"/>
    <w:rsid w:val="000F7DD6"/>
    <w:rsid w:val="000F7F22"/>
    <w:rsid w:val="0010027C"/>
    <w:rsid w:val="001002A5"/>
    <w:rsid w:val="001006D0"/>
    <w:rsid w:val="0010091D"/>
    <w:rsid w:val="00100A2F"/>
    <w:rsid w:val="00100BEA"/>
    <w:rsid w:val="00100E2C"/>
    <w:rsid w:val="001010EF"/>
    <w:rsid w:val="00101278"/>
    <w:rsid w:val="00101AFD"/>
    <w:rsid w:val="00101B58"/>
    <w:rsid w:val="00101C8E"/>
    <w:rsid w:val="00102192"/>
    <w:rsid w:val="001021B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396"/>
    <w:rsid w:val="00106C91"/>
    <w:rsid w:val="00107BF2"/>
    <w:rsid w:val="00110751"/>
    <w:rsid w:val="00110916"/>
    <w:rsid w:val="0011099C"/>
    <w:rsid w:val="00110C23"/>
    <w:rsid w:val="00110FD1"/>
    <w:rsid w:val="001114A7"/>
    <w:rsid w:val="0011172D"/>
    <w:rsid w:val="00111964"/>
    <w:rsid w:val="00111BE2"/>
    <w:rsid w:val="00112302"/>
    <w:rsid w:val="00112641"/>
    <w:rsid w:val="0011277E"/>
    <w:rsid w:val="00112C2B"/>
    <w:rsid w:val="00112CE4"/>
    <w:rsid w:val="00112E6C"/>
    <w:rsid w:val="00113195"/>
    <w:rsid w:val="00113610"/>
    <w:rsid w:val="00113731"/>
    <w:rsid w:val="00113749"/>
    <w:rsid w:val="0011377E"/>
    <w:rsid w:val="0011397A"/>
    <w:rsid w:val="00113D66"/>
    <w:rsid w:val="0011404D"/>
    <w:rsid w:val="0011409D"/>
    <w:rsid w:val="00114C04"/>
    <w:rsid w:val="00114D59"/>
    <w:rsid w:val="001151A8"/>
    <w:rsid w:val="001152E3"/>
    <w:rsid w:val="0011535F"/>
    <w:rsid w:val="001154E0"/>
    <w:rsid w:val="001157F5"/>
    <w:rsid w:val="0011584B"/>
    <w:rsid w:val="001166D4"/>
    <w:rsid w:val="00116B77"/>
    <w:rsid w:val="001171D6"/>
    <w:rsid w:val="001174BB"/>
    <w:rsid w:val="00117A4E"/>
    <w:rsid w:val="00120697"/>
    <w:rsid w:val="0012070A"/>
    <w:rsid w:val="0012093B"/>
    <w:rsid w:val="00120A0D"/>
    <w:rsid w:val="00120B32"/>
    <w:rsid w:val="00120BE8"/>
    <w:rsid w:val="00120F73"/>
    <w:rsid w:val="00121167"/>
    <w:rsid w:val="00121729"/>
    <w:rsid w:val="001218EA"/>
    <w:rsid w:val="00121AF1"/>
    <w:rsid w:val="00121BC0"/>
    <w:rsid w:val="00121C28"/>
    <w:rsid w:val="0012263D"/>
    <w:rsid w:val="001227B8"/>
    <w:rsid w:val="00122904"/>
    <w:rsid w:val="00122914"/>
    <w:rsid w:val="00122B56"/>
    <w:rsid w:val="00122EC0"/>
    <w:rsid w:val="001230F6"/>
    <w:rsid w:val="00123244"/>
    <w:rsid w:val="00123496"/>
    <w:rsid w:val="001235A3"/>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007"/>
    <w:rsid w:val="001312C6"/>
    <w:rsid w:val="001315A9"/>
    <w:rsid w:val="001317A7"/>
    <w:rsid w:val="00131A50"/>
    <w:rsid w:val="001321B3"/>
    <w:rsid w:val="00132346"/>
    <w:rsid w:val="00132581"/>
    <w:rsid w:val="00132A1F"/>
    <w:rsid w:val="001330A4"/>
    <w:rsid w:val="001330ED"/>
    <w:rsid w:val="00133157"/>
    <w:rsid w:val="001332E9"/>
    <w:rsid w:val="00133A68"/>
    <w:rsid w:val="00133A6E"/>
    <w:rsid w:val="00133E67"/>
    <w:rsid w:val="00133EF8"/>
    <w:rsid w:val="001340B2"/>
    <w:rsid w:val="00134454"/>
    <w:rsid w:val="001348A1"/>
    <w:rsid w:val="00134991"/>
    <w:rsid w:val="001352CD"/>
    <w:rsid w:val="00135314"/>
    <w:rsid w:val="00135391"/>
    <w:rsid w:val="00135620"/>
    <w:rsid w:val="00135726"/>
    <w:rsid w:val="001357D0"/>
    <w:rsid w:val="00135F7C"/>
    <w:rsid w:val="00136047"/>
    <w:rsid w:val="001361A8"/>
    <w:rsid w:val="001363F4"/>
    <w:rsid w:val="0013654C"/>
    <w:rsid w:val="0013671C"/>
    <w:rsid w:val="00136A30"/>
    <w:rsid w:val="00136BCF"/>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235"/>
    <w:rsid w:val="001413F3"/>
    <w:rsid w:val="001417C1"/>
    <w:rsid w:val="001421E2"/>
    <w:rsid w:val="001422A6"/>
    <w:rsid w:val="001425EA"/>
    <w:rsid w:val="00142807"/>
    <w:rsid w:val="00142923"/>
    <w:rsid w:val="00142C07"/>
    <w:rsid w:val="00142F21"/>
    <w:rsid w:val="0014300D"/>
    <w:rsid w:val="0014310C"/>
    <w:rsid w:val="0014320C"/>
    <w:rsid w:val="00143300"/>
    <w:rsid w:val="001433AF"/>
    <w:rsid w:val="0014343D"/>
    <w:rsid w:val="00143576"/>
    <w:rsid w:val="001436C3"/>
    <w:rsid w:val="00143B33"/>
    <w:rsid w:val="0014425D"/>
    <w:rsid w:val="0014519A"/>
    <w:rsid w:val="00145240"/>
    <w:rsid w:val="0014532F"/>
    <w:rsid w:val="00145812"/>
    <w:rsid w:val="00145E21"/>
    <w:rsid w:val="00145F34"/>
    <w:rsid w:val="001464F2"/>
    <w:rsid w:val="0014656F"/>
    <w:rsid w:val="001466FE"/>
    <w:rsid w:val="0014684C"/>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786"/>
    <w:rsid w:val="001518A6"/>
    <w:rsid w:val="00151BB3"/>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5E29"/>
    <w:rsid w:val="00156172"/>
    <w:rsid w:val="001562B4"/>
    <w:rsid w:val="0015646F"/>
    <w:rsid w:val="001564A2"/>
    <w:rsid w:val="0015652A"/>
    <w:rsid w:val="001569F6"/>
    <w:rsid w:val="00156EA4"/>
    <w:rsid w:val="00156EC1"/>
    <w:rsid w:val="00157512"/>
    <w:rsid w:val="001577E2"/>
    <w:rsid w:val="001578CF"/>
    <w:rsid w:val="0015796A"/>
    <w:rsid w:val="00160518"/>
    <w:rsid w:val="0016078A"/>
    <w:rsid w:val="00160CAD"/>
    <w:rsid w:val="00160F87"/>
    <w:rsid w:val="001611C7"/>
    <w:rsid w:val="001617D4"/>
    <w:rsid w:val="00161E09"/>
    <w:rsid w:val="00162514"/>
    <w:rsid w:val="00162676"/>
    <w:rsid w:val="00162793"/>
    <w:rsid w:val="001627E3"/>
    <w:rsid w:val="00162826"/>
    <w:rsid w:val="00162C48"/>
    <w:rsid w:val="00162D0E"/>
    <w:rsid w:val="00162DF7"/>
    <w:rsid w:val="00162E7F"/>
    <w:rsid w:val="00162EF8"/>
    <w:rsid w:val="001631A0"/>
    <w:rsid w:val="001633E7"/>
    <w:rsid w:val="00163596"/>
    <w:rsid w:val="00163668"/>
    <w:rsid w:val="0016393C"/>
    <w:rsid w:val="00163A45"/>
    <w:rsid w:val="00163A53"/>
    <w:rsid w:val="00163DDE"/>
    <w:rsid w:val="0016406F"/>
    <w:rsid w:val="001641DC"/>
    <w:rsid w:val="00164364"/>
    <w:rsid w:val="001644D0"/>
    <w:rsid w:val="00164576"/>
    <w:rsid w:val="00164596"/>
    <w:rsid w:val="00164A01"/>
    <w:rsid w:val="00164B89"/>
    <w:rsid w:val="001650FE"/>
    <w:rsid w:val="0016517C"/>
    <w:rsid w:val="00165282"/>
    <w:rsid w:val="0016571C"/>
    <w:rsid w:val="0016579A"/>
    <w:rsid w:val="00165BDB"/>
    <w:rsid w:val="00166073"/>
    <w:rsid w:val="00166659"/>
    <w:rsid w:val="001667E7"/>
    <w:rsid w:val="00167146"/>
    <w:rsid w:val="00167FDF"/>
    <w:rsid w:val="00170C25"/>
    <w:rsid w:val="00170D4E"/>
    <w:rsid w:val="00170F41"/>
    <w:rsid w:val="00171303"/>
    <w:rsid w:val="0017169D"/>
    <w:rsid w:val="00171EE9"/>
    <w:rsid w:val="00172053"/>
    <w:rsid w:val="001721C1"/>
    <w:rsid w:val="001721C2"/>
    <w:rsid w:val="00172511"/>
    <w:rsid w:val="001725D6"/>
    <w:rsid w:val="00172A27"/>
    <w:rsid w:val="00172DAB"/>
    <w:rsid w:val="00173012"/>
    <w:rsid w:val="00173244"/>
    <w:rsid w:val="001732CF"/>
    <w:rsid w:val="001735EF"/>
    <w:rsid w:val="00173748"/>
    <w:rsid w:val="00173A32"/>
    <w:rsid w:val="00173AF4"/>
    <w:rsid w:val="00173B3A"/>
    <w:rsid w:val="0017400C"/>
    <w:rsid w:val="001740D8"/>
    <w:rsid w:val="001744B9"/>
    <w:rsid w:val="001746CD"/>
    <w:rsid w:val="00174711"/>
    <w:rsid w:val="00174885"/>
    <w:rsid w:val="00174A2D"/>
    <w:rsid w:val="00174C3B"/>
    <w:rsid w:val="00174F4B"/>
    <w:rsid w:val="00175018"/>
    <w:rsid w:val="0017525F"/>
    <w:rsid w:val="00175977"/>
    <w:rsid w:val="00175D67"/>
    <w:rsid w:val="00175F47"/>
    <w:rsid w:val="0017626A"/>
    <w:rsid w:val="00176D05"/>
    <w:rsid w:val="00177475"/>
    <w:rsid w:val="0017785F"/>
    <w:rsid w:val="001801D5"/>
    <w:rsid w:val="0018071A"/>
    <w:rsid w:val="00180C8E"/>
    <w:rsid w:val="00181244"/>
    <w:rsid w:val="00181350"/>
    <w:rsid w:val="001813B0"/>
    <w:rsid w:val="00181632"/>
    <w:rsid w:val="00181961"/>
    <w:rsid w:val="00182172"/>
    <w:rsid w:val="00182388"/>
    <w:rsid w:val="00182566"/>
    <w:rsid w:val="001829F9"/>
    <w:rsid w:val="00182C76"/>
    <w:rsid w:val="0018347F"/>
    <w:rsid w:val="00183926"/>
    <w:rsid w:val="00183A17"/>
    <w:rsid w:val="00183A86"/>
    <w:rsid w:val="00183AC5"/>
    <w:rsid w:val="00183CD7"/>
    <w:rsid w:val="00184248"/>
    <w:rsid w:val="0018448C"/>
    <w:rsid w:val="001844E3"/>
    <w:rsid w:val="00184663"/>
    <w:rsid w:val="0018515B"/>
    <w:rsid w:val="0018522E"/>
    <w:rsid w:val="0018525D"/>
    <w:rsid w:val="001857FB"/>
    <w:rsid w:val="00185A4E"/>
    <w:rsid w:val="00185C88"/>
    <w:rsid w:val="00185C92"/>
    <w:rsid w:val="0018607D"/>
    <w:rsid w:val="00186212"/>
    <w:rsid w:val="00186631"/>
    <w:rsid w:val="00186B41"/>
    <w:rsid w:val="00186DCC"/>
    <w:rsid w:val="00187878"/>
    <w:rsid w:val="00187942"/>
    <w:rsid w:val="001879E9"/>
    <w:rsid w:val="00187AA1"/>
    <w:rsid w:val="00187B3C"/>
    <w:rsid w:val="001900EF"/>
    <w:rsid w:val="001901A5"/>
    <w:rsid w:val="001901E9"/>
    <w:rsid w:val="0019039E"/>
    <w:rsid w:val="0019053A"/>
    <w:rsid w:val="0019070B"/>
    <w:rsid w:val="00190F92"/>
    <w:rsid w:val="00191956"/>
    <w:rsid w:val="00191B0E"/>
    <w:rsid w:val="00191BF4"/>
    <w:rsid w:val="001923B8"/>
    <w:rsid w:val="001923FD"/>
    <w:rsid w:val="0019290C"/>
    <w:rsid w:val="00192C67"/>
    <w:rsid w:val="00192CDE"/>
    <w:rsid w:val="00192DF3"/>
    <w:rsid w:val="0019333A"/>
    <w:rsid w:val="001933D2"/>
    <w:rsid w:val="00193711"/>
    <w:rsid w:val="00193AD1"/>
    <w:rsid w:val="00193FB6"/>
    <w:rsid w:val="00194514"/>
    <w:rsid w:val="00194BE0"/>
    <w:rsid w:val="00194D1F"/>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994"/>
    <w:rsid w:val="00197C98"/>
    <w:rsid w:val="00197E31"/>
    <w:rsid w:val="001A03D3"/>
    <w:rsid w:val="001A047C"/>
    <w:rsid w:val="001A04D5"/>
    <w:rsid w:val="001A086D"/>
    <w:rsid w:val="001A0AD7"/>
    <w:rsid w:val="001A0BB8"/>
    <w:rsid w:val="001A0FD4"/>
    <w:rsid w:val="001A1225"/>
    <w:rsid w:val="001A12EA"/>
    <w:rsid w:val="001A141D"/>
    <w:rsid w:val="001A17CB"/>
    <w:rsid w:val="001A1915"/>
    <w:rsid w:val="001A1CB4"/>
    <w:rsid w:val="001A1D0E"/>
    <w:rsid w:val="001A2016"/>
    <w:rsid w:val="001A235C"/>
    <w:rsid w:val="001A23D2"/>
    <w:rsid w:val="001A26AA"/>
    <w:rsid w:val="001A2CE1"/>
    <w:rsid w:val="001A31FB"/>
    <w:rsid w:val="001A35A0"/>
    <w:rsid w:val="001A3B9F"/>
    <w:rsid w:val="001A3C20"/>
    <w:rsid w:val="001A3EDE"/>
    <w:rsid w:val="001A4264"/>
    <w:rsid w:val="001A4590"/>
    <w:rsid w:val="001A4934"/>
    <w:rsid w:val="001A4D64"/>
    <w:rsid w:val="001A4EBE"/>
    <w:rsid w:val="001A4F78"/>
    <w:rsid w:val="001A51C4"/>
    <w:rsid w:val="001A5541"/>
    <w:rsid w:val="001A57A5"/>
    <w:rsid w:val="001A5BA3"/>
    <w:rsid w:val="001A6811"/>
    <w:rsid w:val="001A6853"/>
    <w:rsid w:val="001A69B1"/>
    <w:rsid w:val="001A71CA"/>
    <w:rsid w:val="001A73AF"/>
    <w:rsid w:val="001A76E7"/>
    <w:rsid w:val="001A77EE"/>
    <w:rsid w:val="001A782B"/>
    <w:rsid w:val="001A7868"/>
    <w:rsid w:val="001A7AD2"/>
    <w:rsid w:val="001A7E66"/>
    <w:rsid w:val="001A7F9E"/>
    <w:rsid w:val="001B011F"/>
    <w:rsid w:val="001B019B"/>
    <w:rsid w:val="001B088B"/>
    <w:rsid w:val="001B0B5F"/>
    <w:rsid w:val="001B0E86"/>
    <w:rsid w:val="001B0E9C"/>
    <w:rsid w:val="001B0FFD"/>
    <w:rsid w:val="001B156C"/>
    <w:rsid w:val="001B1972"/>
    <w:rsid w:val="001B1A5F"/>
    <w:rsid w:val="001B1B35"/>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9AA"/>
    <w:rsid w:val="001B6F5C"/>
    <w:rsid w:val="001B7391"/>
    <w:rsid w:val="001B73F0"/>
    <w:rsid w:val="001B75C9"/>
    <w:rsid w:val="001B778F"/>
    <w:rsid w:val="001B79B2"/>
    <w:rsid w:val="001B7A39"/>
    <w:rsid w:val="001B7BBD"/>
    <w:rsid w:val="001B7C05"/>
    <w:rsid w:val="001C00FF"/>
    <w:rsid w:val="001C02EB"/>
    <w:rsid w:val="001C0316"/>
    <w:rsid w:val="001C0776"/>
    <w:rsid w:val="001C0CE6"/>
    <w:rsid w:val="001C0D15"/>
    <w:rsid w:val="001C127E"/>
    <w:rsid w:val="001C128D"/>
    <w:rsid w:val="001C14CC"/>
    <w:rsid w:val="001C16C8"/>
    <w:rsid w:val="001C172B"/>
    <w:rsid w:val="001C181E"/>
    <w:rsid w:val="001C1964"/>
    <w:rsid w:val="001C1ED7"/>
    <w:rsid w:val="001C22A8"/>
    <w:rsid w:val="001C2ECF"/>
    <w:rsid w:val="001C308C"/>
    <w:rsid w:val="001C3214"/>
    <w:rsid w:val="001C35F5"/>
    <w:rsid w:val="001C3942"/>
    <w:rsid w:val="001C3A1C"/>
    <w:rsid w:val="001C3E43"/>
    <w:rsid w:val="001C3E4B"/>
    <w:rsid w:val="001C41C5"/>
    <w:rsid w:val="001C4275"/>
    <w:rsid w:val="001C469A"/>
    <w:rsid w:val="001C4742"/>
    <w:rsid w:val="001C47C4"/>
    <w:rsid w:val="001C4EA1"/>
    <w:rsid w:val="001C4F13"/>
    <w:rsid w:val="001C4F71"/>
    <w:rsid w:val="001C5482"/>
    <w:rsid w:val="001C5483"/>
    <w:rsid w:val="001C558E"/>
    <w:rsid w:val="001C56DD"/>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B50"/>
    <w:rsid w:val="001D1D03"/>
    <w:rsid w:val="001D1DF0"/>
    <w:rsid w:val="001D1EE9"/>
    <w:rsid w:val="001D2169"/>
    <w:rsid w:val="001D2D89"/>
    <w:rsid w:val="001D340D"/>
    <w:rsid w:val="001D378B"/>
    <w:rsid w:val="001D3ED5"/>
    <w:rsid w:val="001D509B"/>
    <w:rsid w:val="001D55C7"/>
    <w:rsid w:val="001D5CF4"/>
    <w:rsid w:val="001D5ECA"/>
    <w:rsid w:val="001D64E9"/>
    <w:rsid w:val="001D6738"/>
    <w:rsid w:val="001D691F"/>
    <w:rsid w:val="001D6923"/>
    <w:rsid w:val="001D6DAB"/>
    <w:rsid w:val="001D6FDE"/>
    <w:rsid w:val="001D71E9"/>
    <w:rsid w:val="001D747E"/>
    <w:rsid w:val="001D74CF"/>
    <w:rsid w:val="001D767B"/>
    <w:rsid w:val="001D7B87"/>
    <w:rsid w:val="001D7BF0"/>
    <w:rsid w:val="001E072A"/>
    <w:rsid w:val="001E0A83"/>
    <w:rsid w:val="001E0E7B"/>
    <w:rsid w:val="001E0EAE"/>
    <w:rsid w:val="001E10B5"/>
    <w:rsid w:val="001E1172"/>
    <w:rsid w:val="001E147D"/>
    <w:rsid w:val="001E16D4"/>
    <w:rsid w:val="001E1705"/>
    <w:rsid w:val="001E1760"/>
    <w:rsid w:val="001E19E6"/>
    <w:rsid w:val="001E1A77"/>
    <w:rsid w:val="001E20DE"/>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2CE"/>
    <w:rsid w:val="001E53EB"/>
    <w:rsid w:val="001E58DF"/>
    <w:rsid w:val="001E5A85"/>
    <w:rsid w:val="001E5EE4"/>
    <w:rsid w:val="001E6185"/>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216"/>
    <w:rsid w:val="001F261D"/>
    <w:rsid w:val="001F28BB"/>
    <w:rsid w:val="001F28F7"/>
    <w:rsid w:val="001F2B0B"/>
    <w:rsid w:val="001F2B83"/>
    <w:rsid w:val="001F2C74"/>
    <w:rsid w:val="001F3041"/>
    <w:rsid w:val="001F30B5"/>
    <w:rsid w:val="001F31BD"/>
    <w:rsid w:val="001F31EA"/>
    <w:rsid w:val="001F36AC"/>
    <w:rsid w:val="001F384F"/>
    <w:rsid w:val="001F3C34"/>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B5F"/>
    <w:rsid w:val="00200E3F"/>
    <w:rsid w:val="00200F74"/>
    <w:rsid w:val="00200FCC"/>
    <w:rsid w:val="0020130A"/>
    <w:rsid w:val="002015B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6CB3"/>
    <w:rsid w:val="002076B7"/>
    <w:rsid w:val="00207908"/>
    <w:rsid w:val="00207C88"/>
    <w:rsid w:val="00210674"/>
    <w:rsid w:val="002107FA"/>
    <w:rsid w:val="00210C30"/>
    <w:rsid w:val="00210D81"/>
    <w:rsid w:val="00210DE9"/>
    <w:rsid w:val="002110E6"/>
    <w:rsid w:val="00211503"/>
    <w:rsid w:val="002117E5"/>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3A5"/>
    <w:rsid w:val="00215554"/>
    <w:rsid w:val="0021564B"/>
    <w:rsid w:val="00215692"/>
    <w:rsid w:val="002156BF"/>
    <w:rsid w:val="00215832"/>
    <w:rsid w:val="002159F8"/>
    <w:rsid w:val="00215A32"/>
    <w:rsid w:val="00216225"/>
    <w:rsid w:val="002162FD"/>
    <w:rsid w:val="00216939"/>
    <w:rsid w:val="00216D40"/>
    <w:rsid w:val="00217421"/>
    <w:rsid w:val="0021743B"/>
    <w:rsid w:val="00217675"/>
    <w:rsid w:val="002176AD"/>
    <w:rsid w:val="002177C7"/>
    <w:rsid w:val="00217F6D"/>
    <w:rsid w:val="0022008A"/>
    <w:rsid w:val="00220157"/>
    <w:rsid w:val="002201BE"/>
    <w:rsid w:val="0022028A"/>
    <w:rsid w:val="00220519"/>
    <w:rsid w:val="00220667"/>
    <w:rsid w:val="002206EF"/>
    <w:rsid w:val="0022090B"/>
    <w:rsid w:val="00220F1A"/>
    <w:rsid w:val="0022100B"/>
    <w:rsid w:val="002215D5"/>
    <w:rsid w:val="00221997"/>
    <w:rsid w:val="00221B5C"/>
    <w:rsid w:val="00221B7B"/>
    <w:rsid w:val="002221B8"/>
    <w:rsid w:val="0022238A"/>
    <w:rsid w:val="002224E9"/>
    <w:rsid w:val="00222BF6"/>
    <w:rsid w:val="00222D2E"/>
    <w:rsid w:val="00222DC3"/>
    <w:rsid w:val="00223157"/>
    <w:rsid w:val="00223F67"/>
    <w:rsid w:val="002245BF"/>
    <w:rsid w:val="002247A3"/>
    <w:rsid w:val="0022511B"/>
    <w:rsid w:val="00225AF6"/>
    <w:rsid w:val="00225BD5"/>
    <w:rsid w:val="00226A9A"/>
    <w:rsid w:val="00226C2A"/>
    <w:rsid w:val="00226E3F"/>
    <w:rsid w:val="00226E63"/>
    <w:rsid w:val="002271E8"/>
    <w:rsid w:val="0022739C"/>
    <w:rsid w:val="002278BF"/>
    <w:rsid w:val="002279DB"/>
    <w:rsid w:val="00227E7E"/>
    <w:rsid w:val="00227EE4"/>
    <w:rsid w:val="00230355"/>
    <w:rsid w:val="002303AF"/>
    <w:rsid w:val="0023067E"/>
    <w:rsid w:val="0023073C"/>
    <w:rsid w:val="00230811"/>
    <w:rsid w:val="00230B5E"/>
    <w:rsid w:val="002310FD"/>
    <w:rsid w:val="00231604"/>
    <w:rsid w:val="00231731"/>
    <w:rsid w:val="0023174E"/>
    <w:rsid w:val="002318D4"/>
    <w:rsid w:val="00231F3B"/>
    <w:rsid w:val="00231F98"/>
    <w:rsid w:val="00231FE0"/>
    <w:rsid w:val="0023213B"/>
    <w:rsid w:val="002325D3"/>
    <w:rsid w:val="0023261E"/>
    <w:rsid w:val="00232AED"/>
    <w:rsid w:val="00232CC6"/>
    <w:rsid w:val="00232EC6"/>
    <w:rsid w:val="002331E4"/>
    <w:rsid w:val="002334B7"/>
    <w:rsid w:val="00233638"/>
    <w:rsid w:val="00233B0D"/>
    <w:rsid w:val="0023420A"/>
    <w:rsid w:val="002349CC"/>
    <w:rsid w:val="00234DC1"/>
    <w:rsid w:val="00234EDC"/>
    <w:rsid w:val="002357D4"/>
    <w:rsid w:val="0023589D"/>
    <w:rsid w:val="0023590E"/>
    <w:rsid w:val="00235E20"/>
    <w:rsid w:val="00236533"/>
    <w:rsid w:val="00236AEB"/>
    <w:rsid w:val="002373FD"/>
    <w:rsid w:val="00240041"/>
    <w:rsid w:val="00240285"/>
    <w:rsid w:val="0024053A"/>
    <w:rsid w:val="00240AEF"/>
    <w:rsid w:val="00240B53"/>
    <w:rsid w:val="00240C3D"/>
    <w:rsid w:val="00240EA6"/>
    <w:rsid w:val="0024107E"/>
    <w:rsid w:val="002414DB"/>
    <w:rsid w:val="002417CB"/>
    <w:rsid w:val="00241A6A"/>
    <w:rsid w:val="00241BBD"/>
    <w:rsid w:val="00241E46"/>
    <w:rsid w:val="00242075"/>
    <w:rsid w:val="002420AC"/>
    <w:rsid w:val="00242322"/>
    <w:rsid w:val="002424E5"/>
    <w:rsid w:val="002425C4"/>
    <w:rsid w:val="0024289A"/>
    <w:rsid w:val="002429EF"/>
    <w:rsid w:val="00242A00"/>
    <w:rsid w:val="00242EBC"/>
    <w:rsid w:val="00243292"/>
    <w:rsid w:val="002439C6"/>
    <w:rsid w:val="00243A5E"/>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18B"/>
    <w:rsid w:val="00250D2F"/>
    <w:rsid w:val="00250D7A"/>
    <w:rsid w:val="00250F99"/>
    <w:rsid w:val="0025109A"/>
    <w:rsid w:val="00251247"/>
    <w:rsid w:val="002514A3"/>
    <w:rsid w:val="00251BE6"/>
    <w:rsid w:val="0025210B"/>
    <w:rsid w:val="002521B2"/>
    <w:rsid w:val="002524DD"/>
    <w:rsid w:val="002525BC"/>
    <w:rsid w:val="002529ED"/>
    <w:rsid w:val="00252B41"/>
    <w:rsid w:val="00252D68"/>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09BA"/>
    <w:rsid w:val="00261211"/>
    <w:rsid w:val="00261399"/>
    <w:rsid w:val="0026148D"/>
    <w:rsid w:val="002614C2"/>
    <w:rsid w:val="002615E2"/>
    <w:rsid w:val="002616F4"/>
    <w:rsid w:val="00261A7E"/>
    <w:rsid w:val="00261DCD"/>
    <w:rsid w:val="00261E14"/>
    <w:rsid w:val="00261EE8"/>
    <w:rsid w:val="002621F0"/>
    <w:rsid w:val="0026269E"/>
    <w:rsid w:val="00262DC8"/>
    <w:rsid w:val="00262E2C"/>
    <w:rsid w:val="00262E2D"/>
    <w:rsid w:val="00262F79"/>
    <w:rsid w:val="002630FB"/>
    <w:rsid w:val="00263126"/>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A4E"/>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0FD7"/>
    <w:rsid w:val="002714A1"/>
    <w:rsid w:val="00271681"/>
    <w:rsid w:val="00271D1E"/>
    <w:rsid w:val="002724A1"/>
    <w:rsid w:val="00272BA5"/>
    <w:rsid w:val="00272BA9"/>
    <w:rsid w:val="00273148"/>
    <w:rsid w:val="0027333B"/>
    <w:rsid w:val="002733B4"/>
    <w:rsid w:val="00273410"/>
    <w:rsid w:val="00273507"/>
    <w:rsid w:val="002736ED"/>
    <w:rsid w:val="002737F1"/>
    <w:rsid w:val="00273C4B"/>
    <w:rsid w:val="00274627"/>
    <w:rsid w:val="0027471A"/>
    <w:rsid w:val="00274756"/>
    <w:rsid w:val="00274788"/>
    <w:rsid w:val="00274A10"/>
    <w:rsid w:val="00274B95"/>
    <w:rsid w:val="00274D70"/>
    <w:rsid w:val="00275241"/>
    <w:rsid w:val="00275B5E"/>
    <w:rsid w:val="00275F47"/>
    <w:rsid w:val="00276045"/>
    <w:rsid w:val="00276051"/>
    <w:rsid w:val="002766A4"/>
    <w:rsid w:val="002767A9"/>
    <w:rsid w:val="00276C5F"/>
    <w:rsid w:val="00276D62"/>
    <w:rsid w:val="00276DFF"/>
    <w:rsid w:val="0027724B"/>
    <w:rsid w:val="00277270"/>
    <w:rsid w:val="00277477"/>
    <w:rsid w:val="0027761D"/>
    <w:rsid w:val="00277A3E"/>
    <w:rsid w:val="00277C39"/>
    <w:rsid w:val="002801D5"/>
    <w:rsid w:val="0028042C"/>
    <w:rsid w:val="00280476"/>
    <w:rsid w:val="00280B7E"/>
    <w:rsid w:val="002811F3"/>
    <w:rsid w:val="00281283"/>
    <w:rsid w:val="00281355"/>
    <w:rsid w:val="00281756"/>
    <w:rsid w:val="0028179B"/>
    <w:rsid w:val="00281E57"/>
    <w:rsid w:val="00282257"/>
    <w:rsid w:val="0028234F"/>
    <w:rsid w:val="002828EF"/>
    <w:rsid w:val="00282999"/>
    <w:rsid w:val="002829E5"/>
    <w:rsid w:val="00282A7C"/>
    <w:rsid w:val="00282AF5"/>
    <w:rsid w:val="0028307C"/>
    <w:rsid w:val="002836DF"/>
    <w:rsid w:val="0028387F"/>
    <w:rsid w:val="002845C3"/>
    <w:rsid w:val="00284756"/>
    <w:rsid w:val="00284A55"/>
    <w:rsid w:val="00284B9F"/>
    <w:rsid w:val="00284C5C"/>
    <w:rsid w:val="00285287"/>
    <w:rsid w:val="00285621"/>
    <w:rsid w:val="00285790"/>
    <w:rsid w:val="00285C7A"/>
    <w:rsid w:val="00285F9C"/>
    <w:rsid w:val="002860A4"/>
    <w:rsid w:val="0028612D"/>
    <w:rsid w:val="0028646F"/>
    <w:rsid w:val="00286516"/>
    <w:rsid w:val="00286909"/>
    <w:rsid w:val="00286AA3"/>
    <w:rsid w:val="002872DF"/>
    <w:rsid w:val="00287547"/>
    <w:rsid w:val="00287644"/>
    <w:rsid w:val="002876BF"/>
    <w:rsid w:val="00287FB3"/>
    <w:rsid w:val="00290010"/>
    <w:rsid w:val="0029013F"/>
    <w:rsid w:val="0029055B"/>
    <w:rsid w:val="00290A2B"/>
    <w:rsid w:val="00290B6A"/>
    <w:rsid w:val="0029112B"/>
    <w:rsid w:val="00291352"/>
    <w:rsid w:val="00291434"/>
    <w:rsid w:val="00291543"/>
    <w:rsid w:val="00291E75"/>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B46"/>
    <w:rsid w:val="00297F72"/>
    <w:rsid w:val="002A025C"/>
    <w:rsid w:val="002A05CB"/>
    <w:rsid w:val="002A1182"/>
    <w:rsid w:val="002A1383"/>
    <w:rsid w:val="002A14AE"/>
    <w:rsid w:val="002A18DD"/>
    <w:rsid w:val="002A19BE"/>
    <w:rsid w:val="002A1A1B"/>
    <w:rsid w:val="002A21F8"/>
    <w:rsid w:val="002A2751"/>
    <w:rsid w:val="002A2D4E"/>
    <w:rsid w:val="002A2FAC"/>
    <w:rsid w:val="002A300C"/>
    <w:rsid w:val="002A3CD9"/>
    <w:rsid w:val="002A44C0"/>
    <w:rsid w:val="002A465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68A"/>
    <w:rsid w:val="002A7C13"/>
    <w:rsid w:val="002A7E40"/>
    <w:rsid w:val="002B00AF"/>
    <w:rsid w:val="002B033B"/>
    <w:rsid w:val="002B0BF5"/>
    <w:rsid w:val="002B0F5A"/>
    <w:rsid w:val="002B1695"/>
    <w:rsid w:val="002B16BF"/>
    <w:rsid w:val="002B1948"/>
    <w:rsid w:val="002B1981"/>
    <w:rsid w:val="002B1CE5"/>
    <w:rsid w:val="002B23D5"/>
    <w:rsid w:val="002B2441"/>
    <w:rsid w:val="002B2771"/>
    <w:rsid w:val="002B292B"/>
    <w:rsid w:val="002B29ED"/>
    <w:rsid w:val="002B2CDD"/>
    <w:rsid w:val="002B2DC6"/>
    <w:rsid w:val="002B31F7"/>
    <w:rsid w:val="002B33E9"/>
    <w:rsid w:val="002B34E5"/>
    <w:rsid w:val="002B355E"/>
    <w:rsid w:val="002B393C"/>
    <w:rsid w:val="002B433C"/>
    <w:rsid w:val="002B437A"/>
    <w:rsid w:val="002B453D"/>
    <w:rsid w:val="002B45CE"/>
    <w:rsid w:val="002B490E"/>
    <w:rsid w:val="002B5032"/>
    <w:rsid w:val="002B50F5"/>
    <w:rsid w:val="002B51D8"/>
    <w:rsid w:val="002B547E"/>
    <w:rsid w:val="002B58A5"/>
    <w:rsid w:val="002B59DB"/>
    <w:rsid w:val="002B5A01"/>
    <w:rsid w:val="002B5A58"/>
    <w:rsid w:val="002B5AE3"/>
    <w:rsid w:val="002B5B0C"/>
    <w:rsid w:val="002B5B73"/>
    <w:rsid w:val="002B65EC"/>
    <w:rsid w:val="002B6CD0"/>
    <w:rsid w:val="002B7178"/>
    <w:rsid w:val="002B725C"/>
    <w:rsid w:val="002B7336"/>
    <w:rsid w:val="002B7AB0"/>
    <w:rsid w:val="002B7BA9"/>
    <w:rsid w:val="002B7C26"/>
    <w:rsid w:val="002B7C74"/>
    <w:rsid w:val="002B7D0C"/>
    <w:rsid w:val="002C07CA"/>
    <w:rsid w:val="002C0887"/>
    <w:rsid w:val="002C0941"/>
    <w:rsid w:val="002C0962"/>
    <w:rsid w:val="002C0990"/>
    <w:rsid w:val="002C09FD"/>
    <w:rsid w:val="002C0A09"/>
    <w:rsid w:val="002C102E"/>
    <w:rsid w:val="002C10ED"/>
    <w:rsid w:val="002C1138"/>
    <w:rsid w:val="002C1311"/>
    <w:rsid w:val="002C15B4"/>
    <w:rsid w:val="002C1694"/>
    <w:rsid w:val="002C1C6B"/>
    <w:rsid w:val="002C1E7D"/>
    <w:rsid w:val="002C2041"/>
    <w:rsid w:val="002C2097"/>
    <w:rsid w:val="002C2349"/>
    <w:rsid w:val="002C2382"/>
    <w:rsid w:val="002C23A0"/>
    <w:rsid w:val="002C278B"/>
    <w:rsid w:val="002C2EBE"/>
    <w:rsid w:val="002C30E1"/>
    <w:rsid w:val="002C321B"/>
    <w:rsid w:val="002C329C"/>
    <w:rsid w:val="002C3584"/>
    <w:rsid w:val="002C3B54"/>
    <w:rsid w:val="002C434C"/>
    <w:rsid w:val="002C4471"/>
    <w:rsid w:val="002C4490"/>
    <w:rsid w:val="002C47EF"/>
    <w:rsid w:val="002C4A0A"/>
    <w:rsid w:val="002C50D3"/>
    <w:rsid w:val="002C54A0"/>
    <w:rsid w:val="002C58BF"/>
    <w:rsid w:val="002C6077"/>
    <w:rsid w:val="002C6508"/>
    <w:rsid w:val="002C6903"/>
    <w:rsid w:val="002C6B21"/>
    <w:rsid w:val="002C705C"/>
    <w:rsid w:val="002C70E1"/>
    <w:rsid w:val="002C72DE"/>
    <w:rsid w:val="002C75E3"/>
    <w:rsid w:val="002C760C"/>
    <w:rsid w:val="002C7CBE"/>
    <w:rsid w:val="002C7FB4"/>
    <w:rsid w:val="002C7FE3"/>
    <w:rsid w:val="002D044D"/>
    <w:rsid w:val="002D0530"/>
    <w:rsid w:val="002D07C6"/>
    <w:rsid w:val="002D0868"/>
    <w:rsid w:val="002D0AA0"/>
    <w:rsid w:val="002D0AD3"/>
    <w:rsid w:val="002D0C01"/>
    <w:rsid w:val="002D0E57"/>
    <w:rsid w:val="002D1421"/>
    <w:rsid w:val="002D1DB5"/>
    <w:rsid w:val="002D2261"/>
    <w:rsid w:val="002D230A"/>
    <w:rsid w:val="002D25FB"/>
    <w:rsid w:val="002D2645"/>
    <w:rsid w:val="002D2B08"/>
    <w:rsid w:val="002D2CA9"/>
    <w:rsid w:val="002D2E6D"/>
    <w:rsid w:val="002D3216"/>
    <w:rsid w:val="002D357A"/>
    <w:rsid w:val="002D3B88"/>
    <w:rsid w:val="002D3E01"/>
    <w:rsid w:val="002D41EC"/>
    <w:rsid w:val="002D43B1"/>
    <w:rsid w:val="002D46F7"/>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5DC"/>
    <w:rsid w:val="002E0C00"/>
    <w:rsid w:val="002E0D1B"/>
    <w:rsid w:val="002E13F9"/>
    <w:rsid w:val="002E1941"/>
    <w:rsid w:val="002E1E31"/>
    <w:rsid w:val="002E2217"/>
    <w:rsid w:val="002E24ED"/>
    <w:rsid w:val="002E2658"/>
    <w:rsid w:val="002E28EB"/>
    <w:rsid w:val="002E290F"/>
    <w:rsid w:val="002E29A7"/>
    <w:rsid w:val="002E2F72"/>
    <w:rsid w:val="002E37FC"/>
    <w:rsid w:val="002E393F"/>
    <w:rsid w:val="002E3A3F"/>
    <w:rsid w:val="002E3A6C"/>
    <w:rsid w:val="002E3DCA"/>
    <w:rsid w:val="002E4209"/>
    <w:rsid w:val="002E42E0"/>
    <w:rsid w:val="002E4343"/>
    <w:rsid w:val="002E46E6"/>
    <w:rsid w:val="002E4CA2"/>
    <w:rsid w:val="002E4DA4"/>
    <w:rsid w:val="002E4FDA"/>
    <w:rsid w:val="002E5204"/>
    <w:rsid w:val="002E52DC"/>
    <w:rsid w:val="002E547F"/>
    <w:rsid w:val="002E58A9"/>
    <w:rsid w:val="002E5CF5"/>
    <w:rsid w:val="002E6239"/>
    <w:rsid w:val="002E62E1"/>
    <w:rsid w:val="002E668E"/>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A08"/>
    <w:rsid w:val="002F2C0F"/>
    <w:rsid w:val="002F2C11"/>
    <w:rsid w:val="002F2CB4"/>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A33"/>
    <w:rsid w:val="002F71FD"/>
    <w:rsid w:val="002F7255"/>
    <w:rsid w:val="002F742D"/>
    <w:rsid w:val="002F7619"/>
    <w:rsid w:val="002F7782"/>
    <w:rsid w:val="002F797A"/>
    <w:rsid w:val="002F7C26"/>
    <w:rsid w:val="002F7C9B"/>
    <w:rsid w:val="002F7D3A"/>
    <w:rsid w:val="002F7D57"/>
    <w:rsid w:val="002F7E3C"/>
    <w:rsid w:val="002F7EFA"/>
    <w:rsid w:val="00300222"/>
    <w:rsid w:val="00300574"/>
    <w:rsid w:val="00300841"/>
    <w:rsid w:val="003008CC"/>
    <w:rsid w:val="00300A7A"/>
    <w:rsid w:val="00300AE4"/>
    <w:rsid w:val="00300FB1"/>
    <w:rsid w:val="00301060"/>
    <w:rsid w:val="0030181B"/>
    <w:rsid w:val="0030185F"/>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7D"/>
    <w:rsid w:val="003053A2"/>
    <w:rsid w:val="00305493"/>
    <w:rsid w:val="0030574F"/>
    <w:rsid w:val="00306202"/>
    <w:rsid w:val="0030634C"/>
    <w:rsid w:val="003067AB"/>
    <w:rsid w:val="00306EC3"/>
    <w:rsid w:val="00307052"/>
    <w:rsid w:val="003076C3"/>
    <w:rsid w:val="003103AE"/>
    <w:rsid w:val="0031048B"/>
    <w:rsid w:val="0031084C"/>
    <w:rsid w:val="00310A2A"/>
    <w:rsid w:val="003112E2"/>
    <w:rsid w:val="0031142D"/>
    <w:rsid w:val="00311CDB"/>
    <w:rsid w:val="00311D21"/>
    <w:rsid w:val="003120BC"/>
    <w:rsid w:val="0031235D"/>
    <w:rsid w:val="00312446"/>
    <w:rsid w:val="003125B6"/>
    <w:rsid w:val="003125DF"/>
    <w:rsid w:val="00312853"/>
    <w:rsid w:val="00312993"/>
    <w:rsid w:val="00312D38"/>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605"/>
    <w:rsid w:val="00317B53"/>
    <w:rsid w:val="00320255"/>
    <w:rsid w:val="003203F8"/>
    <w:rsid w:val="00320907"/>
    <w:rsid w:val="00320CF6"/>
    <w:rsid w:val="00320D21"/>
    <w:rsid w:val="0032146D"/>
    <w:rsid w:val="00321492"/>
    <w:rsid w:val="003218F9"/>
    <w:rsid w:val="0032221A"/>
    <w:rsid w:val="00322642"/>
    <w:rsid w:val="00322C03"/>
    <w:rsid w:val="00322EB9"/>
    <w:rsid w:val="00323173"/>
    <w:rsid w:val="003232BF"/>
    <w:rsid w:val="00323409"/>
    <w:rsid w:val="00323614"/>
    <w:rsid w:val="003237A4"/>
    <w:rsid w:val="00323910"/>
    <w:rsid w:val="00323BE3"/>
    <w:rsid w:val="00323E61"/>
    <w:rsid w:val="00323EE9"/>
    <w:rsid w:val="00324109"/>
    <w:rsid w:val="00324AEF"/>
    <w:rsid w:val="00324E55"/>
    <w:rsid w:val="00325130"/>
    <w:rsid w:val="003258CA"/>
    <w:rsid w:val="003259E2"/>
    <w:rsid w:val="00325A85"/>
    <w:rsid w:val="00325BAE"/>
    <w:rsid w:val="00325E76"/>
    <w:rsid w:val="00326388"/>
    <w:rsid w:val="0032692E"/>
    <w:rsid w:val="00326C50"/>
    <w:rsid w:val="00326CA0"/>
    <w:rsid w:val="00326EDF"/>
    <w:rsid w:val="0032709E"/>
    <w:rsid w:val="00327261"/>
    <w:rsid w:val="0032751E"/>
    <w:rsid w:val="0032759D"/>
    <w:rsid w:val="00327922"/>
    <w:rsid w:val="00327BF2"/>
    <w:rsid w:val="00327E5C"/>
    <w:rsid w:val="00327EB0"/>
    <w:rsid w:val="003302F4"/>
    <w:rsid w:val="003307C3"/>
    <w:rsid w:val="003308CE"/>
    <w:rsid w:val="00330E36"/>
    <w:rsid w:val="00330E74"/>
    <w:rsid w:val="00331489"/>
    <w:rsid w:val="00331502"/>
    <w:rsid w:val="00331A05"/>
    <w:rsid w:val="00331E0D"/>
    <w:rsid w:val="00332065"/>
    <w:rsid w:val="0033246A"/>
    <w:rsid w:val="0033254C"/>
    <w:rsid w:val="00332558"/>
    <w:rsid w:val="00332802"/>
    <w:rsid w:val="00332A7B"/>
    <w:rsid w:val="00332C19"/>
    <w:rsid w:val="00332DDB"/>
    <w:rsid w:val="0033344C"/>
    <w:rsid w:val="00333A42"/>
    <w:rsid w:val="00333D84"/>
    <w:rsid w:val="00333FB1"/>
    <w:rsid w:val="0033428D"/>
    <w:rsid w:val="003345F3"/>
    <w:rsid w:val="00334BC5"/>
    <w:rsid w:val="00334CE2"/>
    <w:rsid w:val="00334EC0"/>
    <w:rsid w:val="003350E2"/>
    <w:rsid w:val="003352A4"/>
    <w:rsid w:val="0033533A"/>
    <w:rsid w:val="00335ABE"/>
    <w:rsid w:val="00335B43"/>
    <w:rsid w:val="00335BA3"/>
    <w:rsid w:val="00336A46"/>
    <w:rsid w:val="00336B13"/>
    <w:rsid w:val="00336D7F"/>
    <w:rsid w:val="00336F5F"/>
    <w:rsid w:val="00337310"/>
    <w:rsid w:val="0033774F"/>
    <w:rsid w:val="00337895"/>
    <w:rsid w:val="00337969"/>
    <w:rsid w:val="00337981"/>
    <w:rsid w:val="003379EB"/>
    <w:rsid w:val="00337E84"/>
    <w:rsid w:val="00337EC1"/>
    <w:rsid w:val="00337FBE"/>
    <w:rsid w:val="00337FEA"/>
    <w:rsid w:val="00340061"/>
    <w:rsid w:val="00340421"/>
    <w:rsid w:val="00340433"/>
    <w:rsid w:val="003404B1"/>
    <w:rsid w:val="003406E5"/>
    <w:rsid w:val="003407F8"/>
    <w:rsid w:val="00340BFB"/>
    <w:rsid w:val="003410D1"/>
    <w:rsid w:val="00341395"/>
    <w:rsid w:val="003413F0"/>
    <w:rsid w:val="003417F7"/>
    <w:rsid w:val="00341963"/>
    <w:rsid w:val="003419BF"/>
    <w:rsid w:val="00341B49"/>
    <w:rsid w:val="00341E28"/>
    <w:rsid w:val="00341FD9"/>
    <w:rsid w:val="00342358"/>
    <w:rsid w:val="003423C4"/>
    <w:rsid w:val="003427FB"/>
    <w:rsid w:val="0034292F"/>
    <w:rsid w:val="00342B7D"/>
    <w:rsid w:val="00342EB6"/>
    <w:rsid w:val="003430B2"/>
    <w:rsid w:val="003433A7"/>
    <w:rsid w:val="003434C4"/>
    <w:rsid w:val="003439F9"/>
    <w:rsid w:val="00343A07"/>
    <w:rsid w:val="00343E41"/>
    <w:rsid w:val="0034418C"/>
    <w:rsid w:val="003445FC"/>
    <w:rsid w:val="00344655"/>
    <w:rsid w:val="00344841"/>
    <w:rsid w:val="00344ACE"/>
    <w:rsid w:val="00344E20"/>
    <w:rsid w:val="00345228"/>
    <w:rsid w:val="00345447"/>
    <w:rsid w:val="00345B4C"/>
    <w:rsid w:val="00345DFB"/>
    <w:rsid w:val="00345F9C"/>
    <w:rsid w:val="003460E5"/>
    <w:rsid w:val="0034670C"/>
    <w:rsid w:val="003467D2"/>
    <w:rsid w:val="0034691F"/>
    <w:rsid w:val="003469D0"/>
    <w:rsid w:val="00346A2E"/>
    <w:rsid w:val="00346B09"/>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33F"/>
    <w:rsid w:val="0035257A"/>
    <w:rsid w:val="003525D7"/>
    <w:rsid w:val="003529E4"/>
    <w:rsid w:val="00352A3F"/>
    <w:rsid w:val="00352A94"/>
    <w:rsid w:val="00352B86"/>
    <w:rsid w:val="00352B8D"/>
    <w:rsid w:val="00352E72"/>
    <w:rsid w:val="0035309E"/>
    <w:rsid w:val="0035319D"/>
    <w:rsid w:val="0035341A"/>
    <w:rsid w:val="0035344E"/>
    <w:rsid w:val="003538F0"/>
    <w:rsid w:val="0035419A"/>
    <w:rsid w:val="00354B90"/>
    <w:rsid w:val="00354D69"/>
    <w:rsid w:val="00354D93"/>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730"/>
    <w:rsid w:val="00360A39"/>
    <w:rsid w:val="00360BD4"/>
    <w:rsid w:val="00360E20"/>
    <w:rsid w:val="00361927"/>
    <w:rsid w:val="00361DCD"/>
    <w:rsid w:val="00361E83"/>
    <w:rsid w:val="0036217E"/>
    <w:rsid w:val="00363394"/>
    <w:rsid w:val="00363673"/>
    <w:rsid w:val="00363E97"/>
    <w:rsid w:val="003643FA"/>
    <w:rsid w:val="00364480"/>
    <w:rsid w:val="00364C93"/>
    <w:rsid w:val="00364D06"/>
    <w:rsid w:val="003653EF"/>
    <w:rsid w:val="00365414"/>
    <w:rsid w:val="0036615F"/>
    <w:rsid w:val="00366320"/>
    <w:rsid w:val="00366816"/>
    <w:rsid w:val="00366AF5"/>
    <w:rsid w:val="00366D19"/>
    <w:rsid w:val="00367107"/>
    <w:rsid w:val="00367765"/>
    <w:rsid w:val="0036794F"/>
    <w:rsid w:val="00367F99"/>
    <w:rsid w:val="00367FCB"/>
    <w:rsid w:val="00370265"/>
    <w:rsid w:val="00370388"/>
    <w:rsid w:val="003708C0"/>
    <w:rsid w:val="0037093C"/>
    <w:rsid w:val="003709A2"/>
    <w:rsid w:val="00370C93"/>
    <w:rsid w:val="00370F87"/>
    <w:rsid w:val="003713B7"/>
    <w:rsid w:val="00371C41"/>
    <w:rsid w:val="00371CA5"/>
    <w:rsid w:val="00371E13"/>
    <w:rsid w:val="0037208D"/>
    <w:rsid w:val="003722E4"/>
    <w:rsid w:val="0037255F"/>
    <w:rsid w:val="00372575"/>
    <w:rsid w:val="0037275D"/>
    <w:rsid w:val="00372C2A"/>
    <w:rsid w:val="00372CA4"/>
    <w:rsid w:val="003731CF"/>
    <w:rsid w:val="003737A7"/>
    <w:rsid w:val="003737BE"/>
    <w:rsid w:val="00373A2F"/>
    <w:rsid w:val="00373B49"/>
    <w:rsid w:val="00373D71"/>
    <w:rsid w:val="00374393"/>
    <w:rsid w:val="003743E4"/>
    <w:rsid w:val="00374835"/>
    <w:rsid w:val="003750B2"/>
    <w:rsid w:val="00375156"/>
    <w:rsid w:val="00375349"/>
    <w:rsid w:val="00375701"/>
    <w:rsid w:val="003758AD"/>
    <w:rsid w:val="003758B0"/>
    <w:rsid w:val="00375D44"/>
    <w:rsid w:val="00375DA8"/>
    <w:rsid w:val="00375DE3"/>
    <w:rsid w:val="00375F71"/>
    <w:rsid w:val="00376101"/>
    <w:rsid w:val="0037625B"/>
    <w:rsid w:val="00376DFD"/>
    <w:rsid w:val="00376F28"/>
    <w:rsid w:val="00376FAC"/>
    <w:rsid w:val="003772A5"/>
    <w:rsid w:val="00377378"/>
    <w:rsid w:val="00377B6F"/>
    <w:rsid w:val="00377EB0"/>
    <w:rsid w:val="00377FA2"/>
    <w:rsid w:val="0038010C"/>
    <w:rsid w:val="00380389"/>
    <w:rsid w:val="003806BC"/>
    <w:rsid w:val="003806CE"/>
    <w:rsid w:val="00380856"/>
    <w:rsid w:val="003810D9"/>
    <w:rsid w:val="00381138"/>
    <w:rsid w:val="0038131E"/>
    <w:rsid w:val="0038171B"/>
    <w:rsid w:val="00381A3C"/>
    <w:rsid w:val="00381AE7"/>
    <w:rsid w:val="00381D65"/>
    <w:rsid w:val="00382284"/>
    <w:rsid w:val="00382A9C"/>
    <w:rsid w:val="00382AE0"/>
    <w:rsid w:val="00382B74"/>
    <w:rsid w:val="00382B89"/>
    <w:rsid w:val="00382D2C"/>
    <w:rsid w:val="003831D5"/>
    <w:rsid w:val="00383A1C"/>
    <w:rsid w:val="00383BEC"/>
    <w:rsid w:val="00383C54"/>
    <w:rsid w:val="00384065"/>
    <w:rsid w:val="0038428A"/>
    <w:rsid w:val="003843DE"/>
    <w:rsid w:val="0038484B"/>
    <w:rsid w:val="00384CBF"/>
    <w:rsid w:val="00384EF2"/>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8"/>
    <w:rsid w:val="003910E9"/>
    <w:rsid w:val="00391403"/>
    <w:rsid w:val="0039181D"/>
    <w:rsid w:val="0039207D"/>
    <w:rsid w:val="00392626"/>
    <w:rsid w:val="0039269B"/>
    <w:rsid w:val="0039281A"/>
    <w:rsid w:val="00392A93"/>
    <w:rsid w:val="00392AD4"/>
    <w:rsid w:val="00392E52"/>
    <w:rsid w:val="0039321A"/>
    <w:rsid w:val="00393A89"/>
    <w:rsid w:val="00393ADA"/>
    <w:rsid w:val="003944EC"/>
    <w:rsid w:val="00394630"/>
    <w:rsid w:val="003956BA"/>
    <w:rsid w:val="003959B5"/>
    <w:rsid w:val="00395C29"/>
    <w:rsid w:val="00396708"/>
    <w:rsid w:val="00396876"/>
    <w:rsid w:val="003968EC"/>
    <w:rsid w:val="00396CDF"/>
    <w:rsid w:val="003972ED"/>
    <w:rsid w:val="0039742D"/>
    <w:rsid w:val="003974C0"/>
    <w:rsid w:val="00397804"/>
    <w:rsid w:val="003A012F"/>
    <w:rsid w:val="003A0DB2"/>
    <w:rsid w:val="003A145D"/>
    <w:rsid w:val="003A1BA6"/>
    <w:rsid w:val="003A1BCE"/>
    <w:rsid w:val="003A1BD0"/>
    <w:rsid w:val="003A1D6E"/>
    <w:rsid w:val="003A1E7D"/>
    <w:rsid w:val="003A1EB0"/>
    <w:rsid w:val="003A1F73"/>
    <w:rsid w:val="003A2262"/>
    <w:rsid w:val="003A2543"/>
    <w:rsid w:val="003A2841"/>
    <w:rsid w:val="003A2F1C"/>
    <w:rsid w:val="003A31DF"/>
    <w:rsid w:val="003A348E"/>
    <w:rsid w:val="003A3640"/>
    <w:rsid w:val="003A36A8"/>
    <w:rsid w:val="003A3BB6"/>
    <w:rsid w:val="003A40F2"/>
    <w:rsid w:val="003A40F4"/>
    <w:rsid w:val="003A4154"/>
    <w:rsid w:val="003A43E3"/>
    <w:rsid w:val="003A48A3"/>
    <w:rsid w:val="003A4B95"/>
    <w:rsid w:val="003A4BB4"/>
    <w:rsid w:val="003A4ECF"/>
    <w:rsid w:val="003A4FD1"/>
    <w:rsid w:val="003A50EC"/>
    <w:rsid w:val="003A53CD"/>
    <w:rsid w:val="003A56BD"/>
    <w:rsid w:val="003A59D5"/>
    <w:rsid w:val="003A5D7E"/>
    <w:rsid w:val="003A606D"/>
    <w:rsid w:val="003A6173"/>
    <w:rsid w:val="003A6403"/>
    <w:rsid w:val="003A65C0"/>
    <w:rsid w:val="003A695E"/>
    <w:rsid w:val="003A7131"/>
    <w:rsid w:val="003A772D"/>
    <w:rsid w:val="003A79E6"/>
    <w:rsid w:val="003A7C89"/>
    <w:rsid w:val="003A7E73"/>
    <w:rsid w:val="003B0479"/>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BA7"/>
    <w:rsid w:val="003B5CE7"/>
    <w:rsid w:val="003B5EB8"/>
    <w:rsid w:val="003B5FE0"/>
    <w:rsid w:val="003B606A"/>
    <w:rsid w:val="003B61D8"/>
    <w:rsid w:val="003B6A26"/>
    <w:rsid w:val="003B6D35"/>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1EE1"/>
    <w:rsid w:val="003C2087"/>
    <w:rsid w:val="003C2093"/>
    <w:rsid w:val="003C20A5"/>
    <w:rsid w:val="003C27AB"/>
    <w:rsid w:val="003C286E"/>
    <w:rsid w:val="003C2F9C"/>
    <w:rsid w:val="003C30F7"/>
    <w:rsid w:val="003C338A"/>
    <w:rsid w:val="003C345B"/>
    <w:rsid w:val="003C3916"/>
    <w:rsid w:val="003C39CC"/>
    <w:rsid w:val="003C3E25"/>
    <w:rsid w:val="003C3EF0"/>
    <w:rsid w:val="003C40FB"/>
    <w:rsid w:val="003C41CF"/>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8B7"/>
    <w:rsid w:val="003D1D1B"/>
    <w:rsid w:val="003D1EB1"/>
    <w:rsid w:val="003D1EB3"/>
    <w:rsid w:val="003D1FD3"/>
    <w:rsid w:val="003D21F8"/>
    <w:rsid w:val="003D29A5"/>
    <w:rsid w:val="003D2AE0"/>
    <w:rsid w:val="003D336B"/>
    <w:rsid w:val="003D341C"/>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751"/>
    <w:rsid w:val="003D5877"/>
    <w:rsid w:val="003D5FC7"/>
    <w:rsid w:val="003D6351"/>
    <w:rsid w:val="003D6A2A"/>
    <w:rsid w:val="003D6AE5"/>
    <w:rsid w:val="003D734C"/>
    <w:rsid w:val="003D746D"/>
    <w:rsid w:val="003D7491"/>
    <w:rsid w:val="003D79F1"/>
    <w:rsid w:val="003D7A58"/>
    <w:rsid w:val="003D7D79"/>
    <w:rsid w:val="003D7EB6"/>
    <w:rsid w:val="003E019D"/>
    <w:rsid w:val="003E01DF"/>
    <w:rsid w:val="003E0AD8"/>
    <w:rsid w:val="003E0ADC"/>
    <w:rsid w:val="003E0E85"/>
    <w:rsid w:val="003E1211"/>
    <w:rsid w:val="003E1606"/>
    <w:rsid w:val="003E1AE5"/>
    <w:rsid w:val="003E1D9D"/>
    <w:rsid w:val="003E1F99"/>
    <w:rsid w:val="003E1FAC"/>
    <w:rsid w:val="003E221F"/>
    <w:rsid w:val="003E280B"/>
    <w:rsid w:val="003E29AB"/>
    <w:rsid w:val="003E2BA9"/>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96B"/>
    <w:rsid w:val="003E5B46"/>
    <w:rsid w:val="003E5C91"/>
    <w:rsid w:val="003E614B"/>
    <w:rsid w:val="003E6251"/>
    <w:rsid w:val="003E62FB"/>
    <w:rsid w:val="003E65D0"/>
    <w:rsid w:val="003E6688"/>
    <w:rsid w:val="003E6827"/>
    <w:rsid w:val="003E6917"/>
    <w:rsid w:val="003E6B51"/>
    <w:rsid w:val="003E6E57"/>
    <w:rsid w:val="003E7291"/>
    <w:rsid w:val="003E72CA"/>
    <w:rsid w:val="003E7574"/>
    <w:rsid w:val="003E7C7E"/>
    <w:rsid w:val="003F013A"/>
    <w:rsid w:val="003F0590"/>
    <w:rsid w:val="003F06C1"/>
    <w:rsid w:val="003F08B4"/>
    <w:rsid w:val="003F0ECE"/>
    <w:rsid w:val="003F1167"/>
    <w:rsid w:val="003F12D0"/>
    <w:rsid w:val="003F1597"/>
    <w:rsid w:val="003F187A"/>
    <w:rsid w:val="003F1CD4"/>
    <w:rsid w:val="003F2118"/>
    <w:rsid w:val="003F223A"/>
    <w:rsid w:val="003F2627"/>
    <w:rsid w:val="003F267D"/>
    <w:rsid w:val="003F2CE4"/>
    <w:rsid w:val="003F2ED5"/>
    <w:rsid w:val="003F33C4"/>
    <w:rsid w:val="003F3839"/>
    <w:rsid w:val="003F38BD"/>
    <w:rsid w:val="003F38F0"/>
    <w:rsid w:val="003F39DF"/>
    <w:rsid w:val="003F3C84"/>
    <w:rsid w:val="003F47FB"/>
    <w:rsid w:val="003F49D6"/>
    <w:rsid w:val="003F4D26"/>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8CB"/>
    <w:rsid w:val="00400B91"/>
    <w:rsid w:val="00400E04"/>
    <w:rsid w:val="004014EC"/>
    <w:rsid w:val="004014F7"/>
    <w:rsid w:val="00401A20"/>
    <w:rsid w:val="00401B1F"/>
    <w:rsid w:val="00401DA9"/>
    <w:rsid w:val="00401F09"/>
    <w:rsid w:val="004021C4"/>
    <w:rsid w:val="004023A9"/>
    <w:rsid w:val="00402B06"/>
    <w:rsid w:val="00402BF6"/>
    <w:rsid w:val="00402D92"/>
    <w:rsid w:val="00403BE4"/>
    <w:rsid w:val="00404230"/>
    <w:rsid w:val="004047EC"/>
    <w:rsid w:val="00404DC5"/>
    <w:rsid w:val="00404DEE"/>
    <w:rsid w:val="00405460"/>
    <w:rsid w:val="004055CB"/>
    <w:rsid w:val="00405BB4"/>
    <w:rsid w:val="00406323"/>
    <w:rsid w:val="004063D6"/>
    <w:rsid w:val="00406512"/>
    <w:rsid w:val="004066F3"/>
    <w:rsid w:val="00406B9B"/>
    <w:rsid w:val="00406D2D"/>
    <w:rsid w:val="00406F20"/>
    <w:rsid w:val="00407014"/>
    <w:rsid w:val="00407210"/>
    <w:rsid w:val="004072A8"/>
    <w:rsid w:val="0040732A"/>
    <w:rsid w:val="004078FD"/>
    <w:rsid w:val="00407969"/>
    <w:rsid w:val="00407D0A"/>
    <w:rsid w:val="00407EC3"/>
    <w:rsid w:val="00407FC2"/>
    <w:rsid w:val="004103F9"/>
    <w:rsid w:val="004107B3"/>
    <w:rsid w:val="004115E6"/>
    <w:rsid w:val="004116B5"/>
    <w:rsid w:val="0041183D"/>
    <w:rsid w:val="00411C50"/>
    <w:rsid w:val="00411C80"/>
    <w:rsid w:val="0041238A"/>
    <w:rsid w:val="00412562"/>
    <w:rsid w:val="004129E7"/>
    <w:rsid w:val="00412F69"/>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ADC"/>
    <w:rsid w:val="00422B30"/>
    <w:rsid w:val="00423063"/>
    <w:rsid w:val="00423740"/>
    <w:rsid w:val="00424197"/>
    <w:rsid w:val="004241F4"/>
    <w:rsid w:val="00424CE5"/>
    <w:rsid w:val="004250E4"/>
    <w:rsid w:val="0042590E"/>
    <w:rsid w:val="00425926"/>
    <w:rsid w:val="00425928"/>
    <w:rsid w:val="0042594C"/>
    <w:rsid w:val="00425F5D"/>
    <w:rsid w:val="0042603F"/>
    <w:rsid w:val="004261E2"/>
    <w:rsid w:val="004262AB"/>
    <w:rsid w:val="004264E0"/>
    <w:rsid w:val="00426707"/>
    <w:rsid w:val="00426968"/>
    <w:rsid w:val="00426CF2"/>
    <w:rsid w:val="00426E5E"/>
    <w:rsid w:val="00426FC6"/>
    <w:rsid w:val="004270F5"/>
    <w:rsid w:val="00427354"/>
    <w:rsid w:val="00427564"/>
    <w:rsid w:val="004277AA"/>
    <w:rsid w:val="00427A9A"/>
    <w:rsid w:val="00427FCB"/>
    <w:rsid w:val="00430152"/>
    <w:rsid w:val="00430736"/>
    <w:rsid w:val="00430862"/>
    <w:rsid w:val="00430D29"/>
    <w:rsid w:val="00430F4B"/>
    <w:rsid w:val="00431069"/>
    <w:rsid w:val="004313C0"/>
    <w:rsid w:val="00431574"/>
    <w:rsid w:val="00431814"/>
    <w:rsid w:val="00431D3F"/>
    <w:rsid w:val="00431F57"/>
    <w:rsid w:val="00432133"/>
    <w:rsid w:val="004326C3"/>
    <w:rsid w:val="004329F5"/>
    <w:rsid w:val="00432B38"/>
    <w:rsid w:val="00432BC2"/>
    <w:rsid w:val="00432BCE"/>
    <w:rsid w:val="00432D0C"/>
    <w:rsid w:val="00432F55"/>
    <w:rsid w:val="00432FB2"/>
    <w:rsid w:val="004331DE"/>
    <w:rsid w:val="004333A4"/>
    <w:rsid w:val="004333A5"/>
    <w:rsid w:val="00433909"/>
    <w:rsid w:val="004339AF"/>
    <w:rsid w:val="00433BF5"/>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55A"/>
    <w:rsid w:val="004379D5"/>
    <w:rsid w:val="00437A60"/>
    <w:rsid w:val="00437B42"/>
    <w:rsid w:val="00437BB1"/>
    <w:rsid w:val="00440248"/>
    <w:rsid w:val="004408F8"/>
    <w:rsid w:val="00440B98"/>
    <w:rsid w:val="00440E0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22B"/>
    <w:rsid w:val="004453EB"/>
    <w:rsid w:val="00445606"/>
    <w:rsid w:val="004459BE"/>
    <w:rsid w:val="00445A42"/>
    <w:rsid w:val="00445A81"/>
    <w:rsid w:val="00445B43"/>
    <w:rsid w:val="00445EEF"/>
    <w:rsid w:val="00446111"/>
    <w:rsid w:val="00446791"/>
    <w:rsid w:val="004469E5"/>
    <w:rsid w:val="00446B94"/>
    <w:rsid w:val="00446BA5"/>
    <w:rsid w:val="004473D6"/>
    <w:rsid w:val="00447571"/>
    <w:rsid w:val="00447803"/>
    <w:rsid w:val="00447BC1"/>
    <w:rsid w:val="00447CE3"/>
    <w:rsid w:val="00450129"/>
    <w:rsid w:val="00450246"/>
    <w:rsid w:val="004505C0"/>
    <w:rsid w:val="0045063F"/>
    <w:rsid w:val="00450925"/>
    <w:rsid w:val="00450AA0"/>
    <w:rsid w:val="00451203"/>
    <w:rsid w:val="004512DD"/>
    <w:rsid w:val="00451300"/>
    <w:rsid w:val="004515AF"/>
    <w:rsid w:val="0045173D"/>
    <w:rsid w:val="00451A00"/>
    <w:rsid w:val="00451ABF"/>
    <w:rsid w:val="00451CC5"/>
    <w:rsid w:val="00451D6D"/>
    <w:rsid w:val="00451DE4"/>
    <w:rsid w:val="00452498"/>
    <w:rsid w:val="0045297E"/>
    <w:rsid w:val="004530D2"/>
    <w:rsid w:val="0045315C"/>
    <w:rsid w:val="00453494"/>
    <w:rsid w:val="0045373E"/>
    <w:rsid w:val="00453D19"/>
    <w:rsid w:val="00453DD9"/>
    <w:rsid w:val="00454522"/>
    <w:rsid w:val="00454582"/>
    <w:rsid w:val="00454744"/>
    <w:rsid w:val="00455558"/>
    <w:rsid w:val="004555F2"/>
    <w:rsid w:val="00455AFC"/>
    <w:rsid w:val="00455B9C"/>
    <w:rsid w:val="0045611C"/>
    <w:rsid w:val="00456999"/>
    <w:rsid w:val="0045742C"/>
    <w:rsid w:val="00457522"/>
    <w:rsid w:val="004576A1"/>
    <w:rsid w:val="00457B9D"/>
    <w:rsid w:val="004600A2"/>
    <w:rsid w:val="00460141"/>
    <w:rsid w:val="0046017A"/>
    <w:rsid w:val="004604C1"/>
    <w:rsid w:val="0046059A"/>
    <w:rsid w:val="00460AD3"/>
    <w:rsid w:val="00460DB0"/>
    <w:rsid w:val="00460F13"/>
    <w:rsid w:val="00461032"/>
    <w:rsid w:val="004611F0"/>
    <w:rsid w:val="00461298"/>
    <w:rsid w:val="0046158F"/>
    <w:rsid w:val="00461C54"/>
    <w:rsid w:val="00461D73"/>
    <w:rsid w:val="00461DE2"/>
    <w:rsid w:val="00461EBD"/>
    <w:rsid w:val="00462520"/>
    <w:rsid w:val="004625D8"/>
    <w:rsid w:val="0046263A"/>
    <w:rsid w:val="00462AF9"/>
    <w:rsid w:val="00462C92"/>
    <w:rsid w:val="00462D0F"/>
    <w:rsid w:val="00462EFC"/>
    <w:rsid w:val="004631AC"/>
    <w:rsid w:val="0046331A"/>
    <w:rsid w:val="00463F96"/>
    <w:rsid w:val="00464085"/>
    <w:rsid w:val="00464090"/>
    <w:rsid w:val="004648B7"/>
    <w:rsid w:val="004654CF"/>
    <w:rsid w:val="004657D7"/>
    <w:rsid w:val="00465CFD"/>
    <w:rsid w:val="00465D24"/>
    <w:rsid w:val="00465EF2"/>
    <w:rsid w:val="004660A2"/>
    <w:rsid w:val="00466468"/>
    <w:rsid w:val="004667A9"/>
    <w:rsid w:val="00466DFB"/>
    <w:rsid w:val="00466EEB"/>
    <w:rsid w:val="00467571"/>
    <w:rsid w:val="004679C8"/>
    <w:rsid w:val="004679CC"/>
    <w:rsid w:val="0047038D"/>
    <w:rsid w:val="004705F5"/>
    <w:rsid w:val="00470885"/>
    <w:rsid w:val="00470C0C"/>
    <w:rsid w:val="00470D9E"/>
    <w:rsid w:val="00471023"/>
    <w:rsid w:val="004710C0"/>
    <w:rsid w:val="00471216"/>
    <w:rsid w:val="00471980"/>
    <w:rsid w:val="00471A8B"/>
    <w:rsid w:val="00471E4A"/>
    <w:rsid w:val="004722E0"/>
    <w:rsid w:val="00472449"/>
    <w:rsid w:val="00472601"/>
    <w:rsid w:val="004729A3"/>
    <w:rsid w:val="00472D37"/>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15"/>
    <w:rsid w:val="004752F7"/>
    <w:rsid w:val="004757C8"/>
    <w:rsid w:val="00475F19"/>
    <w:rsid w:val="00476248"/>
    <w:rsid w:val="004763FA"/>
    <w:rsid w:val="004764A3"/>
    <w:rsid w:val="004764C0"/>
    <w:rsid w:val="00476785"/>
    <w:rsid w:val="0047696F"/>
    <w:rsid w:val="004769A8"/>
    <w:rsid w:val="00476B82"/>
    <w:rsid w:val="00476B86"/>
    <w:rsid w:val="00476ECD"/>
    <w:rsid w:val="004771E3"/>
    <w:rsid w:val="004773C1"/>
    <w:rsid w:val="00477645"/>
    <w:rsid w:val="00477735"/>
    <w:rsid w:val="00477D2C"/>
    <w:rsid w:val="00477EE0"/>
    <w:rsid w:val="0048016F"/>
    <w:rsid w:val="004802DD"/>
    <w:rsid w:val="00480371"/>
    <w:rsid w:val="00480560"/>
    <w:rsid w:val="004807DA"/>
    <w:rsid w:val="00480A2C"/>
    <w:rsid w:val="004811F1"/>
    <w:rsid w:val="0048128D"/>
    <w:rsid w:val="0048140B"/>
    <w:rsid w:val="00481AC0"/>
    <w:rsid w:val="00481B60"/>
    <w:rsid w:val="004821C6"/>
    <w:rsid w:val="00482303"/>
    <w:rsid w:val="004823E4"/>
    <w:rsid w:val="004825B4"/>
    <w:rsid w:val="0048283A"/>
    <w:rsid w:val="00482957"/>
    <w:rsid w:val="00482CD9"/>
    <w:rsid w:val="004837D0"/>
    <w:rsid w:val="00483D35"/>
    <w:rsid w:val="00483E3D"/>
    <w:rsid w:val="004846B9"/>
    <w:rsid w:val="00484AEE"/>
    <w:rsid w:val="00484C9B"/>
    <w:rsid w:val="00484CC7"/>
    <w:rsid w:val="00484D0C"/>
    <w:rsid w:val="00484D88"/>
    <w:rsid w:val="004855B3"/>
    <w:rsid w:val="00485880"/>
    <w:rsid w:val="004858D9"/>
    <w:rsid w:val="00485F78"/>
    <w:rsid w:val="00486590"/>
    <w:rsid w:val="0048666C"/>
    <w:rsid w:val="0048668F"/>
    <w:rsid w:val="004867B4"/>
    <w:rsid w:val="00486C8E"/>
    <w:rsid w:val="00486CF4"/>
    <w:rsid w:val="00486E1F"/>
    <w:rsid w:val="004870E9"/>
    <w:rsid w:val="004871A3"/>
    <w:rsid w:val="004871B4"/>
    <w:rsid w:val="00487224"/>
    <w:rsid w:val="004872B7"/>
    <w:rsid w:val="004873B5"/>
    <w:rsid w:val="00487637"/>
    <w:rsid w:val="004877BC"/>
    <w:rsid w:val="00487A6A"/>
    <w:rsid w:val="00487DC0"/>
    <w:rsid w:val="00487F15"/>
    <w:rsid w:val="0049035C"/>
    <w:rsid w:val="0049089F"/>
    <w:rsid w:val="00490A8E"/>
    <w:rsid w:val="00490F59"/>
    <w:rsid w:val="0049168C"/>
    <w:rsid w:val="00491A8F"/>
    <w:rsid w:val="00491BAA"/>
    <w:rsid w:val="00491BCF"/>
    <w:rsid w:val="004928AB"/>
    <w:rsid w:val="00492961"/>
    <w:rsid w:val="00493280"/>
    <w:rsid w:val="0049371E"/>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6F1E"/>
    <w:rsid w:val="004975D4"/>
    <w:rsid w:val="00497680"/>
    <w:rsid w:val="00497829"/>
    <w:rsid w:val="0049790B"/>
    <w:rsid w:val="00497923"/>
    <w:rsid w:val="00497AF0"/>
    <w:rsid w:val="00497E11"/>
    <w:rsid w:val="00497FED"/>
    <w:rsid w:val="004A009F"/>
    <w:rsid w:val="004A041C"/>
    <w:rsid w:val="004A0656"/>
    <w:rsid w:val="004A071D"/>
    <w:rsid w:val="004A0CDF"/>
    <w:rsid w:val="004A1286"/>
    <w:rsid w:val="004A14E9"/>
    <w:rsid w:val="004A1659"/>
    <w:rsid w:val="004A1B6B"/>
    <w:rsid w:val="004A1D37"/>
    <w:rsid w:val="004A1D75"/>
    <w:rsid w:val="004A2082"/>
    <w:rsid w:val="004A253B"/>
    <w:rsid w:val="004A290C"/>
    <w:rsid w:val="004A294C"/>
    <w:rsid w:val="004A2D61"/>
    <w:rsid w:val="004A2DFE"/>
    <w:rsid w:val="004A382D"/>
    <w:rsid w:val="004A4039"/>
    <w:rsid w:val="004A409B"/>
    <w:rsid w:val="004A436F"/>
    <w:rsid w:val="004A4693"/>
    <w:rsid w:val="004A4840"/>
    <w:rsid w:val="004A4AF8"/>
    <w:rsid w:val="004A4B86"/>
    <w:rsid w:val="004A4D62"/>
    <w:rsid w:val="004A4F1B"/>
    <w:rsid w:val="004A4F88"/>
    <w:rsid w:val="004A526D"/>
    <w:rsid w:val="004A550A"/>
    <w:rsid w:val="004A58E1"/>
    <w:rsid w:val="004A5FBF"/>
    <w:rsid w:val="004A63E4"/>
    <w:rsid w:val="004A63EC"/>
    <w:rsid w:val="004A6661"/>
    <w:rsid w:val="004A6947"/>
    <w:rsid w:val="004A6DF8"/>
    <w:rsid w:val="004A6F0E"/>
    <w:rsid w:val="004A701D"/>
    <w:rsid w:val="004A73AB"/>
    <w:rsid w:val="004A740D"/>
    <w:rsid w:val="004A752E"/>
    <w:rsid w:val="004A7591"/>
    <w:rsid w:val="004A7C59"/>
    <w:rsid w:val="004A7E6B"/>
    <w:rsid w:val="004A7E83"/>
    <w:rsid w:val="004B00E1"/>
    <w:rsid w:val="004B06B3"/>
    <w:rsid w:val="004B0A55"/>
    <w:rsid w:val="004B0A56"/>
    <w:rsid w:val="004B0F75"/>
    <w:rsid w:val="004B101E"/>
    <w:rsid w:val="004B11A7"/>
    <w:rsid w:val="004B12DB"/>
    <w:rsid w:val="004B1534"/>
    <w:rsid w:val="004B189B"/>
    <w:rsid w:val="004B2256"/>
    <w:rsid w:val="004B2643"/>
    <w:rsid w:val="004B26D6"/>
    <w:rsid w:val="004B2B00"/>
    <w:rsid w:val="004B2B6C"/>
    <w:rsid w:val="004B2E7C"/>
    <w:rsid w:val="004B3191"/>
    <w:rsid w:val="004B37D3"/>
    <w:rsid w:val="004B37DC"/>
    <w:rsid w:val="004B3AF1"/>
    <w:rsid w:val="004B3B9E"/>
    <w:rsid w:val="004B42E7"/>
    <w:rsid w:val="004B455E"/>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249"/>
    <w:rsid w:val="004C06C4"/>
    <w:rsid w:val="004C07BB"/>
    <w:rsid w:val="004C07FE"/>
    <w:rsid w:val="004C0D2B"/>
    <w:rsid w:val="004C0E96"/>
    <w:rsid w:val="004C0F5B"/>
    <w:rsid w:val="004C1012"/>
    <w:rsid w:val="004C1A0C"/>
    <w:rsid w:val="004C1A88"/>
    <w:rsid w:val="004C1ADC"/>
    <w:rsid w:val="004C1BAA"/>
    <w:rsid w:val="004C1C79"/>
    <w:rsid w:val="004C1F06"/>
    <w:rsid w:val="004C2091"/>
    <w:rsid w:val="004C20B1"/>
    <w:rsid w:val="004C21B5"/>
    <w:rsid w:val="004C24D1"/>
    <w:rsid w:val="004C301E"/>
    <w:rsid w:val="004C31CA"/>
    <w:rsid w:val="004C334D"/>
    <w:rsid w:val="004C3627"/>
    <w:rsid w:val="004C3C3E"/>
    <w:rsid w:val="004C3CBF"/>
    <w:rsid w:val="004C4549"/>
    <w:rsid w:val="004C464C"/>
    <w:rsid w:val="004C4732"/>
    <w:rsid w:val="004C473C"/>
    <w:rsid w:val="004C4EA6"/>
    <w:rsid w:val="004C5C7E"/>
    <w:rsid w:val="004C5DD6"/>
    <w:rsid w:val="004C5FC5"/>
    <w:rsid w:val="004C6351"/>
    <w:rsid w:val="004C6D1B"/>
    <w:rsid w:val="004C6D74"/>
    <w:rsid w:val="004C6F98"/>
    <w:rsid w:val="004C73A2"/>
    <w:rsid w:val="004C7A35"/>
    <w:rsid w:val="004D0109"/>
    <w:rsid w:val="004D028A"/>
    <w:rsid w:val="004D053B"/>
    <w:rsid w:val="004D0961"/>
    <w:rsid w:val="004D0BBE"/>
    <w:rsid w:val="004D0BCD"/>
    <w:rsid w:val="004D101A"/>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403"/>
    <w:rsid w:val="004D59CF"/>
    <w:rsid w:val="004D5AFD"/>
    <w:rsid w:val="004D5EF6"/>
    <w:rsid w:val="004D6455"/>
    <w:rsid w:val="004D6787"/>
    <w:rsid w:val="004D6A39"/>
    <w:rsid w:val="004D6F59"/>
    <w:rsid w:val="004D7209"/>
    <w:rsid w:val="004D7258"/>
    <w:rsid w:val="004D764F"/>
    <w:rsid w:val="004D77AD"/>
    <w:rsid w:val="004E02D7"/>
    <w:rsid w:val="004E02F7"/>
    <w:rsid w:val="004E0353"/>
    <w:rsid w:val="004E07D8"/>
    <w:rsid w:val="004E0EC5"/>
    <w:rsid w:val="004E1002"/>
    <w:rsid w:val="004E1319"/>
    <w:rsid w:val="004E134C"/>
    <w:rsid w:val="004E13FD"/>
    <w:rsid w:val="004E1723"/>
    <w:rsid w:val="004E1975"/>
    <w:rsid w:val="004E1A9F"/>
    <w:rsid w:val="004E1AF2"/>
    <w:rsid w:val="004E1E85"/>
    <w:rsid w:val="004E1FA7"/>
    <w:rsid w:val="004E24D2"/>
    <w:rsid w:val="004E2E67"/>
    <w:rsid w:val="004E3030"/>
    <w:rsid w:val="004E315B"/>
    <w:rsid w:val="004E394E"/>
    <w:rsid w:val="004E3C76"/>
    <w:rsid w:val="004E49C6"/>
    <w:rsid w:val="004E4BDD"/>
    <w:rsid w:val="004E4FDD"/>
    <w:rsid w:val="004E52AF"/>
    <w:rsid w:val="004E52D8"/>
    <w:rsid w:val="004E532C"/>
    <w:rsid w:val="004E54B9"/>
    <w:rsid w:val="004E5A0C"/>
    <w:rsid w:val="004E60E6"/>
    <w:rsid w:val="004E6A7A"/>
    <w:rsid w:val="004E6BC1"/>
    <w:rsid w:val="004E6BF8"/>
    <w:rsid w:val="004E7483"/>
    <w:rsid w:val="004E7D1F"/>
    <w:rsid w:val="004E7EE3"/>
    <w:rsid w:val="004F00AF"/>
    <w:rsid w:val="004F01DA"/>
    <w:rsid w:val="004F0384"/>
    <w:rsid w:val="004F06EA"/>
    <w:rsid w:val="004F0A5E"/>
    <w:rsid w:val="004F0B9E"/>
    <w:rsid w:val="004F0DAB"/>
    <w:rsid w:val="004F0F42"/>
    <w:rsid w:val="004F16B7"/>
    <w:rsid w:val="004F27CF"/>
    <w:rsid w:val="004F2888"/>
    <w:rsid w:val="004F293E"/>
    <w:rsid w:val="004F2C4C"/>
    <w:rsid w:val="004F34E8"/>
    <w:rsid w:val="004F3C7C"/>
    <w:rsid w:val="004F401D"/>
    <w:rsid w:val="004F45A4"/>
    <w:rsid w:val="004F45B9"/>
    <w:rsid w:val="004F4CD3"/>
    <w:rsid w:val="004F51D3"/>
    <w:rsid w:val="004F541A"/>
    <w:rsid w:val="004F548F"/>
    <w:rsid w:val="004F570C"/>
    <w:rsid w:val="004F5A68"/>
    <w:rsid w:val="004F5E3A"/>
    <w:rsid w:val="004F60DA"/>
    <w:rsid w:val="004F626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8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6A32"/>
    <w:rsid w:val="00506E97"/>
    <w:rsid w:val="0050794C"/>
    <w:rsid w:val="00507EE2"/>
    <w:rsid w:val="00510061"/>
    <w:rsid w:val="005102DA"/>
    <w:rsid w:val="00510847"/>
    <w:rsid w:val="0051135C"/>
    <w:rsid w:val="0051137F"/>
    <w:rsid w:val="005115B8"/>
    <w:rsid w:val="005115D6"/>
    <w:rsid w:val="0051169B"/>
    <w:rsid w:val="00511BE1"/>
    <w:rsid w:val="005121A0"/>
    <w:rsid w:val="0051222A"/>
    <w:rsid w:val="00512375"/>
    <w:rsid w:val="0051243B"/>
    <w:rsid w:val="00512A70"/>
    <w:rsid w:val="00512AC1"/>
    <w:rsid w:val="00512D48"/>
    <w:rsid w:val="0051300E"/>
    <w:rsid w:val="00513413"/>
    <w:rsid w:val="00513571"/>
    <w:rsid w:val="00513618"/>
    <w:rsid w:val="00513BF5"/>
    <w:rsid w:val="00513CEF"/>
    <w:rsid w:val="0051434B"/>
    <w:rsid w:val="0051449C"/>
    <w:rsid w:val="00514A0C"/>
    <w:rsid w:val="00514CCC"/>
    <w:rsid w:val="00514E8E"/>
    <w:rsid w:val="00514EB8"/>
    <w:rsid w:val="00514F75"/>
    <w:rsid w:val="00515274"/>
    <w:rsid w:val="00515877"/>
    <w:rsid w:val="00516093"/>
    <w:rsid w:val="0051636D"/>
    <w:rsid w:val="0051659C"/>
    <w:rsid w:val="0051673C"/>
    <w:rsid w:val="005169BB"/>
    <w:rsid w:val="0051733D"/>
    <w:rsid w:val="00517378"/>
    <w:rsid w:val="0051787B"/>
    <w:rsid w:val="00517976"/>
    <w:rsid w:val="00517C0D"/>
    <w:rsid w:val="00517F5C"/>
    <w:rsid w:val="0052014E"/>
    <w:rsid w:val="0052064C"/>
    <w:rsid w:val="005207C7"/>
    <w:rsid w:val="00520CB1"/>
    <w:rsid w:val="00520FBE"/>
    <w:rsid w:val="0052138E"/>
    <w:rsid w:val="00521B6F"/>
    <w:rsid w:val="00521BC1"/>
    <w:rsid w:val="00521D36"/>
    <w:rsid w:val="00521FC4"/>
    <w:rsid w:val="00522708"/>
    <w:rsid w:val="00522B65"/>
    <w:rsid w:val="00522FD2"/>
    <w:rsid w:val="005231ED"/>
    <w:rsid w:val="005237A5"/>
    <w:rsid w:val="005237FB"/>
    <w:rsid w:val="005239A0"/>
    <w:rsid w:val="00523C20"/>
    <w:rsid w:val="00523D54"/>
    <w:rsid w:val="00523DB4"/>
    <w:rsid w:val="00523DBB"/>
    <w:rsid w:val="00523E1B"/>
    <w:rsid w:val="00523ED4"/>
    <w:rsid w:val="005246D9"/>
    <w:rsid w:val="0052485D"/>
    <w:rsid w:val="00524924"/>
    <w:rsid w:val="00524CB1"/>
    <w:rsid w:val="00524F52"/>
    <w:rsid w:val="00525211"/>
    <w:rsid w:val="0052539D"/>
    <w:rsid w:val="00525461"/>
    <w:rsid w:val="005255A8"/>
    <w:rsid w:val="005258B9"/>
    <w:rsid w:val="00526027"/>
    <w:rsid w:val="005263E4"/>
    <w:rsid w:val="00526709"/>
    <w:rsid w:val="00526B00"/>
    <w:rsid w:val="00526E23"/>
    <w:rsid w:val="005271C8"/>
    <w:rsid w:val="0052763F"/>
    <w:rsid w:val="00527755"/>
    <w:rsid w:val="00527782"/>
    <w:rsid w:val="005277FE"/>
    <w:rsid w:val="00527A4F"/>
    <w:rsid w:val="00527CCA"/>
    <w:rsid w:val="00527CED"/>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89B"/>
    <w:rsid w:val="00532ABC"/>
    <w:rsid w:val="00532B73"/>
    <w:rsid w:val="00532C20"/>
    <w:rsid w:val="00532FD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21"/>
    <w:rsid w:val="00540480"/>
    <w:rsid w:val="00540678"/>
    <w:rsid w:val="005408A0"/>
    <w:rsid w:val="005408B7"/>
    <w:rsid w:val="005408DF"/>
    <w:rsid w:val="00540A70"/>
    <w:rsid w:val="00540DD8"/>
    <w:rsid w:val="00540FF0"/>
    <w:rsid w:val="0054102C"/>
    <w:rsid w:val="00541179"/>
    <w:rsid w:val="005414C9"/>
    <w:rsid w:val="0054163B"/>
    <w:rsid w:val="00541711"/>
    <w:rsid w:val="0054175E"/>
    <w:rsid w:val="0054206E"/>
    <w:rsid w:val="00542076"/>
    <w:rsid w:val="005424A9"/>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5F6"/>
    <w:rsid w:val="00546ADB"/>
    <w:rsid w:val="00546F82"/>
    <w:rsid w:val="00547193"/>
    <w:rsid w:val="00547540"/>
    <w:rsid w:val="00547630"/>
    <w:rsid w:val="005478BA"/>
    <w:rsid w:val="00547983"/>
    <w:rsid w:val="00547A27"/>
    <w:rsid w:val="00547AD7"/>
    <w:rsid w:val="00547DAC"/>
    <w:rsid w:val="00547E99"/>
    <w:rsid w:val="0055003E"/>
    <w:rsid w:val="005507FE"/>
    <w:rsid w:val="0055119A"/>
    <w:rsid w:val="005512F3"/>
    <w:rsid w:val="005514A8"/>
    <w:rsid w:val="005518F2"/>
    <w:rsid w:val="005519E2"/>
    <w:rsid w:val="005519F2"/>
    <w:rsid w:val="00551CD5"/>
    <w:rsid w:val="00552250"/>
    <w:rsid w:val="005523C8"/>
    <w:rsid w:val="005526CB"/>
    <w:rsid w:val="005529E5"/>
    <w:rsid w:val="00552A7B"/>
    <w:rsid w:val="00553360"/>
    <w:rsid w:val="00553601"/>
    <w:rsid w:val="00553649"/>
    <w:rsid w:val="00553710"/>
    <w:rsid w:val="00553853"/>
    <w:rsid w:val="00553BEC"/>
    <w:rsid w:val="00553DCC"/>
    <w:rsid w:val="005540EB"/>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01A"/>
    <w:rsid w:val="00556191"/>
    <w:rsid w:val="005563B1"/>
    <w:rsid w:val="0055683A"/>
    <w:rsid w:val="00556BFB"/>
    <w:rsid w:val="00556E30"/>
    <w:rsid w:val="005573D7"/>
    <w:rsid w:val="00557455"/>
    <w:rsid w:val="0055796A"/>
    <w:rsid w:val="00557CC4"/>
    <w:rsid w:val="00557DE9"/>
    <w:rsid w:val="0056056C"/>
    <w:rsid w:val="0056070F"/>
    <w:rsid w:val="0056091E"/>
    <w:rsid w:val="00560B26"/>
    <w:rsid w:val="00560B9C"/>
    <w:rsid w:val="00560E52"/>
    <w:rsid w:val="00560E87"/>
    <w:rsid w:val="00560EF4"/>
    <w:rsid w:val="005610A9"/>
    <w:rsid w:val="00561313"/>
    <w:rsid w:val="00561330"/>
    <w:rsid w:val="005618AD"/>
    <w:rsid w:val="005619E0"/>
    <w:rsid w:val="00561D19"/>
    <w:rsid w:val="00561F02"/>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00E"/>
    <w:rsid w:val="00566269"/>
    <w:rsid w:val="0056748C"/>
    <w:rsid w:val="00567848"/>
    <w:rsid w:val="005679D7"/>
    <w:rsid w:val="00567E33"/>
    <w:rsid w:val="00567FC3"/>
    <w:rsid w:val="00570114"/>
    <w:rsid w:val="005701A2"/>
    <w:rsid w:val="005704DC"/>
    <w:rsid w:val="00570A2E"/>
    <w:rsid w:val="00570B18"/>
    <w:rsid w:val="00570D6C"/>
    <w:rsid w:val="00570D8C"/>
    <w:rsid w:val="00570E10"/>
    <w:rsid w:val="00571552"/>
    <w:rsid w:val="005719FA"/>
    <w:rsid w:val="00571C59"/>
    <w:rsid w:val="00571F5F"/>
    <w:rsid w:val="00572889"/>
    <w:rsid w:val="005729C6"/>
    <w:rsid w:val="00572AC6"/>
    <w:rsid w:val="005734D7"/>
    <w:rsid w:val="005736E9"/>
    <w:rsid w:val="0057379E"/>
    <w:rsid w:val="0057395C"/>
    <w:rsid w:val="0057407D"/>
    <w:rsid w:val="00574173"/>
    <w:rsid w:val="0057430E"/>
    <w:rsid w:val="0057436A"/>
    <w:rsid w:val="00574472"/>
    <w:rsid w:val="005745B1"/>
    <w:rsid w:val="005747AC"/>
    <w:rsid w:val="0057491D"/>
    <w:rsid w:val="00574B39"/>
    <w:rsid w:val="00574EE7"/>
    <w:rsid w:val="00575196"/>
    <w:rsid w:val="00575443"/>
    <w:rsid w:val="00575610"/>
    <w:rsid w:val="00575C1F"/>
    <w:rsid w:val="00575CDC"/>
    <w:rsid w:val="00575D61"/>
    <w:rsid w:val="00575E94"/>
    <w:rsid w:val="00575F58"/>
    <w:rsid w:val="005768F6"/>
    <w:rsid w:val="005769BC"/>
    <w:rsid w:val="00576A6D"/>
    <w:rsid w:val="00577200"/>
    <w:rsid w:val="005772D2"/>
    <w:rsid w:val="00577356"/>
    <w:rsid w:val="00577910"/>
    <w:rsid w:val="00577AB9"/>
    <w:rsid w:val="00577AC9"/>
    <w:rsid w:val="00577B00"/>
    <w:rsid w:val="00577C63"/>
    <w:rsid w:val="00577CB1"/>
    <w:rsid w:val="00577CB8"/>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A83"/>
    <w:rsid w:val="0058635F"/>
    <w:rsid w:val="0058637E"/>
    <w:rsid w:val="0058678B"/>
    <w:rsid w:val="00586ADE"/>
    <w:rsid w:val="0058709F"/>
    <w:rsid w:val="0058756C"/>
    <w:rsid w:val="00587864"/>
    <w:rsid w:val="005878A9"/>
    <w:rsid w:val="00587A8E"/>
    <w:rsid w:val="00587DAA"/>
    <w:rsid w:val="00587EAC"/>
    <w:rsid w:val="0059011E"/>
    <w:rsid w:val="00590457"/>
    <w:rsid w:val="005904FE"/>
    <w:rsid w:val="005905C2"/>
    <w:rsid w:val="005906A4"/>
    <w:rsid w:val="00590A71"/>
    <w:rsid w:val="00590E15"/>
    <w:rsid w:val="00591411"/>
    <w:rsid w:val="00591491"/>
    <w:rsid w:val="00591579"/>
    <w:rsid w:val="00591743"/>
    <w:rsid w:val="005919ED"/>
    <w:rsid w:val="0059210E"/>
    <w:rsid w:val="005921F9"/>
    <w:rsid w:val="0059237B"/>
    <w:rsid w:val="0059279D"/>
    <w:rsid w:val="005928FD"/>
    <w:rsid w:val="00592BF3"/>
    <w:rsid w:val="00592F41"/>
    <w:rsid w:val="0059345F"/>
    <w:rsid w:val="0059357F"/>
    <w:rsid w:val="005935BC"/>
    <w:rsid w:val="00593702"/>
    <w:rsid w:val="005938AB"/>
    <w:rsid w:val="00593B03"/>
    <w:rsid w:val="00594156"/>
    <w:rsid w:val="00594AEC"/>
    <w:rsid w:val="00594BA2"/>
    <w:rsid w:val="00595569"/>
    <w:rsid w:val="0059556F"/>
    <w:rsid w:val="00595A4E"/>
    <w:rsid w:val="00595BAD"/>
    <w:rsid w:val="00595E0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AE"/>
    <w:rsid w:val="005A17B0"/>
    <w:rsid w:val="005A1981"/>
    <w:rsid w:val="005A19AA"/>
    <w:rsid w:val="005A1A2E"/>
    <w:rsid w:val="005A1A42"/>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B6"/>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2C"/>
    <w:rsid w:val="005B2150"/>
    <w:rsid w:val="005B2243"/>
    <w:rsid w:val="005B23F0"/>
    <w:rsid w:val="005B24CF"/>
    <w:rsid w:val="005B24EE"/>
    <w:rsid w:val="005B2518"/>
    <w:rsid w:val="005B2986"/>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C18"/>
    <w:rsid w:val="005B4DBF"/>
    <w:rsid w:val="005B51D0"/>
    <w:rsid w:val="005B52B6"/>
    <w:rsid w:val="005B55E2"/>
    <w:rsid w:val="005B5767"/>
    <w:rsid w:val="005B5770"/>
    <w:rsid w:val="005B5D09"/>
    <w:rsid w:val="005B630F"/>
    <w:rsid w:val="005B6439"/>
    <w:rsid w:val="005B64C3"/>
    <w:rsid w:val="005B67BA"/>
    <w:rsid w:val="005B6B8A"/>
    <w:rsid w:val="005B6F71"/>
    <w:rsid w:val="005B6FAF"/>
    <w:rsid w:val="005B7564"/>
    <w:rsid w:val="005B7DA4"/>
    <w:rsid w:val="005B7E13"/>
    <w:rsid w:val="005C0293"/>
    <w:rsid w:val="005C11A9"/>
    <w:rsid w:val="005C1D65"/>
    <w:rsid w:val="005C2237"/>
    <w:rsid w:val="005C33B8"/>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40"/>
    <w:rsid w:val="005C767C"/>
    <w:rsid w:val="005C7A22"/>
    <w:rsid w:val="005D005E"/>
    <w:rsid w:val="005D0086"/>
    <w:rsid w:val="005D0909"/>
    <w:rsid w:val="005D0B90"/>
    <w:rsid w:val="005D0D7D"/>
    <w:rsid w:val="005D187F"/>
    <w:rsid w:val="005D1990"/>
    <w:rsid w:val="005D23D2"/>
    <w:rsid w:val="005D24FD"/>
    <w:rsid w:val="005D2682"/>
    <w:rsid w:val="005D2882"/>
    <w:rsid w:val="005D2946"/>
    <w:rsid w:val="005D295E"/>
    <w:rsid w:val="005D2E67"/>
    <w:rsid w:val="005D2E95"/>
    <w:rsid w:val="005D334A"/>
    <w:rsid w:val="005D339E"/>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132"/>
    <w:rsid w:val="005D6523"/>
    <w:rsid w:val="005D6539"/>
    <w:rsid w:val="005D6AA9"/>
    <w:rsid w:val="005D6E3A"/>
    <w:rsid w:val="005D7410"/>
    <w:rsid w:val="005D7459"/>
    <w:rsid w:val="005E0D3B"/>
    <w:rsid w:val="005E106F"/>
    <w:rsid w:val="005E1423"/>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4EE5"/>
    <w:rsid w:val="005E52C6"/>
    <w:rsid w:val="005E52EF"/>
    <w:rsid w:val="005E5CF1"/>
    <w:rsid w:val="005E6170"/>
    <w:rsid w:val="005E647F"/>
    <w:rsid w:val="005E64D8"/>
    <w:rsid w:val="005E6853"/>
    <w:rsid w:val="005E68BB"/>
    <w:rsid w:val="005E691C"/>
    <w:rsid w:val="005E7445"/>
    <w:rsid w:val="005E77ED"/>
    <w:rsid w:val="005E78E3"/>
    <w:rsid w:val="005E78FF"/>
    <w:rsid w:val="005E7A1A"/>
    <w:rsid w:val="005E7D95"/>
    <w:rsid w:val="005E7EB8"/>
    <w:rsid w:val="005E7FC6"/>
    <w:rsid w:val="005F0248"/>
    <w:rsid w:val="005F0313"/>
    <w:rsid w:val="005F05A1"/>
    <w:rsid w:val="005F06BC"/>
    <w:rsid w:val="005F0FDE"/>
    <w:rsid w:val="005F1387"/>
    <w:rsid w:val="005F28A5"/>
    <w:rsid w:val="005F2C91"/>
    <w:rsid w:val="005F2D77"/>
    <w:rsid w:val="005F2EF8"/>
    <w:rsid w:val="005F3191"/>
    <w:rsid w:val="005F31F1"/>
    <w:rsid w:val="005F32AC"/>
    <w:rsid w:val="005F33A0"/>
    <w:rsid w:val="005F3434"/>
    <w:rsid w:val="005F3449"/>
    <w:rsid w:val="005F37FA"/>
    <w:rsid w:val="005F3A3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5A1"/>
    <w:rsid w:val="005F663A"/>
    <w:rsid w:val="005F6683"/>
    <w:rsid w:val="005F68FF"/>
    <w:rsid w:val="005F6C0F"/>
    <w:rsid w:val="005F6D10"/>
    <w:rsid w:val="005F72DE"/>
    <w:rsid w:val="005F74A2"/>
    <w:rsid w:val="005F7955"/>
    <w:rsid w:val="005F7C7A"/>
    <w:rsid w:val="006002B5"/>
    <w:rsid w:val="006005D9"/>
    <w:rsid w:val="006007CA"/>
    <w:rsid w:val="00600AFD"/>
    <w:rsid w:val="00600B10"/>
    <w:rsid w:val="00600B3A"/>
    <w:rsid w:val="0060105E"/>
    <w:rsid w:val="00601144"/>
    <w:rsid w:val="006012B3"/>
    <w:rsid w:val="0060130E"/>
    <w:rsid w:val="00601689"/>
    <w:rsid w:val="006018DC"/>
    <w:rsid w:val="00601AD7"/>
    <w:rsid w:val="006021D2"/>
    <w:rsid w:val="0060284F"/>
    <w:rsid w:val="006029F5"/>
    <w:rsid w:val="00602A1E"/>
    <w:rsid w:val="00602AFB"/>
    <w:rsid w:val="006035FA"/>
    <w:rsid w:val="006039AD"/>
    <w:rsid w:val="00603A71"/>
    <w:rsid w:val="00603A7D"/>
    <w:rsid w:val="00603BC4"/>
    <w:rsid w:val="00604C09"/>
    <w:rsid w:val="00604C7F"/>
    <w:rsid w:val="00604D27"/>
    <w:rsid w:val="006050E5"/>
    <w:rsid w:val="006054DE"/>
    <w:rsid w:val="006056CD"/>
    <w:rsid w:val="00605E50"/>
    <w:rsid w:val="006060DD"/>
    <w:rsid w:val="006060F7"/>
    <w:rsid w:val="006063D5"/>
    <w:rsid w:val="00606BEA"/>
    <w:rsid w:val="00607090"/>
    <w:rsid w:val="006070EC"/>
    <w:rsid w:val="006073F2"/>
    <w:rsid w:val="00607553"/>
    <w:rsid w:val="006076C6"/>
    <w:rsid w:val="006079C7"/>
    <w:rsid w:val="00607A5C"/>
    <w:rsid w:val="00607A7B"/>
    <w:rsid w:val="00607B90"/>
    <w:rsid w:val="00607CA6"/>
    <w:rsid w:val="00607D66"/>
    <w:rsid w:val="00607D8C"/>
    <w:rsid w:val="006104F5"/>
    <w:rsid w:val="0061050A"/>
    <w:rsid w:val="0061097A"/>
    <w:rsid w:val="00610C31"/>
    <w:rsid w:val="00610F63"/>
    <w:rsid w:val="00610FAD"/>
    <w:rsid w:val="00610FC3"/>
    <w:rsid w:val="006111D7"/>
    <w:rsid w:val="00611241"/>
    <w:rsid w:val="00611317"/>
    <w:rsid w:val="0061143B"/>
    <w:rsid w:val="006119FF"/>
    <w:rsid w:val="00611B3A"/>
    <w:rsid w:val="00612150"/>
    <w:rsid w:val="006122E8"/>
    <w:rsid w:val="00612400"/>
    <w:rsid w:val="006124F1"/>
    <w:rsid w:val="0061256A"/>
    <w:rsid w:val="00612797"/>
    <w:rsid w:val="0061292D"/>
    <w:rsid w:val="00612E32"/>
    <w:rsid w:val="006133F7"/>
    <w:rsid w:val="00613536"/>
    <w:rsid w:val="00613578"/>
    <w:rsid w:val="00613A9A"/>
    <w:rsid w:val="00613C89"/>
    <w:rsid w:val="0061436C"/>
    <w:rsid w:val="0061461D"/>
    <w:rsid w:val="00614BBE"/>
    <w:rsid w:val="00615202"/>
    <w:rsid w:val="00615231"/>
    <w:rsid w:val="00615310"/>
    <w:rsid w:val="006153F9"/>
    <w:rsid w:val="006155F6"/>
    <w:rsid w:val="00615CC1"/>
    <w:rsid w:val="00615D88"/>
    <w:rsid w:val="00615DFD"/>
    <w:rsid w:val="006163B5"/>
    <w:rsid w:val="0061641A"/>
    <w:rsid w:val="00616BEE"/>
    <w:rsid w:val="00616DDF"/>
    <w:rsid w:val="00616E04"/>
    <w:rsid w:val="00616E88"/>
    <w:rsid w:val="00616FBC"/>
    <w:rsid w:val="00616FD0"/>
    <w:rsid w:val="006171FF"/>
    <w:rsid w:val="0061762E"/>
    <w:rsid w:val="00620113"/>
    <w:rsid w:val="00620231"/>
    <w:rsid w:val="00620308"/>
    <w:rsid w:val="00620545"/>
    <w:rsid w:val="00620DDC"/>
    <w:rsid w:val="006212DB"/>
    <w:rsid w:val="006216BE"/>
    <w:rsid w:val="006217E8"/>
    <w:rsid w:val="00621B7F"/>
    <w:rsid w:val="00621BCE"/>
    <w:rsid w:val="00622631"/>
    <w:rsid w:val="00622914"/>
    <w:rsid w:val="00622CE6"/>
    <w:rsid w:val="00623446"/>
    <w:rsid w:val="00623A52"/>
    <w:rsid w:val="00623FA8"/>
    <w:rsid w:val="00624594"/>
    <w:rsid w:val="00624A61"/>
    <w:rsid w:val="00624B9F"/>
    <w:rsid w:val="00624D1F"/>
    <w:rsid w:val="00624E3D"/>
    <w:rsid w:val="00624ECC"/>
    <w:rsid w:val="006252F8"/>
    <w:rsid w:val="0062584E"/>
    <w:rsid w:val="00625E05"/>
    <w:rsid w:val="00625EB9"/>
    <w:rsid w:val="00626111"/>
    <w:rsid w:val="00626363"/>
    <w:rsid w:val="006264E2"/>
    <w:rsid w:val="006265E3"/>
    <w:rsid w:val="00626A55"/>
    <w:rsid w:val="0062743C"/>
    <w:rsid w:val="00627C0A"/>
    <w:rsid w:val="00627D10"/>
    <w:rsid w:val="00627FAD"/>
    <w:rsid w:val="0063035F"/>
    <w:rsid w:val="0063053B"/>
    <w:rsid w:val="0063060C"/>
    <w:rsid w:val="006312D2"/>
    <w:rsid w:val="00631349"/>
    <w:rsid w:val="006315A4"/>
    <w:rsid w:val="00631742"/>
    <w:rsid w:val="006319E7"/>
    <w:rsid w:val="00631A53"/>
    <w:rsid w:val="00631B51"/>
    <w:rsid w:val="00631F42"/>
    <w:rsid w:val="00631F7B"/>
    <w:rsid w:val="0063213E"/>
    <w:rsid w:val="006321FC"/>
    <w:rsid w:val="006322E2"/>
    <w:rsid w:val="00632397"/>
    <w:rsid w:val="00632741"/>
    <w:rsid w:val="00632868"/>
    <w:rsid w:val="006328D8"/>
    <w:rsid w:val="00632AE6"/>
    <w:rsid w:val="00632C6E"/>
    <w:rsid w:val="00632DB5"/>
    <w:rsid w:val="00632FEB"/>
    <w:rsid w:val="0063310B"/>
    <w:rsid w:val="00633289"/>
    <w:rsid w:val="0063356E"/>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073"/>
    <w:rsid w:val="006371EB"/>
    <w:rsid w:val="0063782A"/>
    <w:rsid w:val="0063798E"/>
    <w:rsid w:val="00637E4E"/>
    <w:rsid w:val="0064014E"/>
    <w:rsid w:val="006404E9"/>
    <w:rsid w:val="00640537"/>
    <w:rsid w:val="00640D50"/>
    <w:rsid w:val="00640E5B"/>
    <w:rsid w:val="00641273"/>
    <w:rsid w:val="00641598"/>
    <w:rsid w:val="006415B7"/>
    <w:rsid w:val="006422C8"/>
    <w:rsid w:val="006422DD"/>
    <w:rsid w:val="00642904"/>
    <w:rsid w:val="00642AA3"/>
    <w:rsid w:val="00642E2E"/>
    <w:rsid w:val="00642F0B"/>
    <w:rsid w:val="006433AF"/>
    <w:rsid w:val="006433BD"/>
    <w:rsid w:val="0064346D"/>
    <w:rsid w:val="006436FC"/>
    <w:rsid w:val="006438F2"/>
    <w:rsid w:val="00644219"/>
    <w:rsid w:val="00644285"/>
    <w:rsid w:val="006443BD"/>
    <w:rsid w:val="00644A9C"/>
    <w:rsid w:val="00644EC7"/>
    <w:rsid w:val="00645458"/>
    <w:rsid w:val="00645634"/>
    <w:rsid w:val="0064563D"/>
    <w:rsid w:val="006457F2"/>
    <w:rsid w:val="0064617E"/>
    <w:rsid w:val="00646422"/>
    <w:rsid w:val="00646AC1"/>
    <w:rsid w:val="006474FD"/>
    <w:rsid w:val="00647714"/>
    <w:rsid w:val="00647874"/>
    <w:rsid w:val="00647898"/>
    <w:rsid w:val="006500EA"/>
    <w:rsid w:val="00650479"/>
    <w:rsid w:val="00650948"/>
    <w:rsid w:val="00650CC1"/>
    <w:rsid w:val="00650DD5"/>
    <w:rsid w:val="00650F40"/>
    <w:rsid w:val="00650FE7"/>
    <w:rsid w:val="00651257"/>
    <w:rsid w:val="006513EA"/>
    <w:rsid w:val="00651AA0"/>
    <w:rsid w:val="00651C11"/>
    <w:rsid w:val="006520DE"/>
    <w:rsid w:val="00652464"/>
    <w:rsid w:val="00652E84"/>
    <w:rsid w:val="006530C9"/>
    <w:rsid w:val="006532E1"/>
    <w:rsid w:val="00653BE4"/>
    <w:rsid w:val="00653D43"/>
    <w:rsid w:val="0065421B"/>
    <w:rsid w:val="00654254"/>
    <w:rsid w:val="006542E6"/>
    <w:rsid w:val="006544E2"/>
    <w:rsid w:val="00654938"/>
    <w:rsid w:val="00654C7A"/>
    <w:rsid w:val="00654E54"/>
    <w:rsid w:val="00655706"/>
    <w:rsid w:val="0065570E"/>
    <w:rsid w:val="00655F48"/>
    <w:rsid w:val="00655FB7"/>
    <w:rsid w:val="00655FFE"/>
    <w:rsid w:val="00656069"/>
    <w:rsid w:val="0065616D"/>
    <w:rsid w:val="00656419"/>
    <w:rsid w:val="006564BD"/>
    <w:rsid w:val="00656916"/>
    <w:rsid w:val="00656BE7"/>
    <w:rsid w:val="00656D15"/>
    <w:rsid w:val="00656D91"/>
    <w:rsid w:val="0065714A"/>
    <w:rsid w:val="0065737E"/>
    <w:rsid w:val="00657569"/>
    <w:rsid w:val="006575FD"/>
    <w:rsid w:val="00657606"/>
    <w:rsid w:val="00657724"/>
    <w:rsid w:val="00657751"/>
    <w:rsid w:val="00657EF3"/>
    <w:rsid w:val="00657F89"/>
    <w:rsid w:val="00660380"/>
    <w:rsid w:val="006606E8"/>
    <w:rsid w:val="0066084B"/>
    <w:rsid w:val="00660AAD"/>
    <w:rsid w:val="0066102B"/>
    <w:rsid w:val="00661544"/>
    <w:rsid w:val="0066177B"/>
    <w:rsid w:val="00661951"/>
    <w:rsid w:val="00661F4D"/>
    <w:rsid w:val="00662146"/>
    <w:rsid w:val="00662192"/>
    <w:rsid w:val="00662268"/>
    <w:rsid w:val="00662ADC"/>
    <w:rsid w:val="00662D5D"/>
    <w:rsid w:val="006633E3"/>
    <w:rsid w:val="00663420"/>
    <w:rsid w:val="006637BF"/>
    <w:rsid w:val="00663852"/>
    <w:rsid w:val="00663C6C"/>
    <w:rsid w:val="006640E7"/>
    <w:rsid w:val="006642BF"/>
    <w:rsid w:val="00664387"/>
    <w:rsid w:val="0066493B"/>
    <w:rsid w:val="0066499C"/>
    <w:rsid w:val="006649DC"/>
    <w:rsid w:val="00664AAE"/>
    <w:rsid w:val="00664AC9"/>
    <w:rsid w:val="0066524E"/>
    <w:rsid w:val="006657FC"/>
    <w:rsid w:val="006659D8"/>
    <w:rsid w:val="006659E2"/>
    <w:rsid w:val="00665D3F"/>
    <w:rsid w:val="00665DF1"/>
    <w:rsid w:val="00665F2E"/>
    <w:rsid w:val="00665F97"/>
    <w:rsid w:val="0066620E"/>
    <w:rsid w:val="00666220"/>
    <w:rsid w:val="00666699"/>
    <w:rsid w:val="00666C31"/>
    <w:rsid w:val="0066746C"/>
    <w:rsid w:val="00667D2E"/>
    <w:rsid w:val="00667EA1"/>
    <w:rsid w:val="00670215"/>
    <w:rsid w:val="00670294"/>
    <w:rsid w:val="00670549"/>
    <w:rsid w:val="006705D8"/>
    <w:rsid w:val="00670841"/>
    <w:rsid w:val="00670B9D"/>
    <w:rsid w:val="00671007"/>
    <w:rsid w:val="0067148F"/>
    <w:rsid w:val="00671572"/>
    <w:rsid w:val="006717BD"/>
    <w:rsid w:val="00671882"/>
    <w:rsid w:val="00671A37"/>
    <w:rsid w:val="00671A4F"/>
    <w:rsid w:val="00671F7E"/>
    <w:rsid w:val="0067218B"/>
    <w:rsid w:val="006724D4"/>
    <w:rsid w:val="006726C8"/>
    <w:rsid w:val="00672733"/>
    <w:rsid w:val="00672B37"/>
    <w:rsid w:val="00672DFC"/>
    <w:rsid w:val="00672FA5"/>
    <w:rsid w:val="00673435"/>
    <w:rsid w:val="00673721"/>
    <w:rsid w:val="00673ADF"/>
    <w:rsid w:val="00673C39"/>
    <w:rsid w:val="00673E28"/>
    <w:rsid w:val="0067400A"/>
    <w:rsid w:val="0067449F"/>
    <w:rsid w:val="00674D4D"/>
    <w:rsid w:val="00674F7A"/>
    <w:rsid w:val="00674FA0"/>
    <w:rsid w:val="0067504C"/>
    <w:rsid w:val="0067510C"/>
    <w:rsid w:val="00675610"/>
    <w:rsid w:val="00675AE9"/>
    <w:rsid w:val="00675AF6"/>
    <w:rsid w:val="00675C1F"/>
    <w:rsid w:val="00675EB2"/>
    <w:rsid w:val="00675F4D"/>
    <w:rsid w:val="0067675F"/>
    <w:rsid w:val="006769C0"/>
    <w:rsid w:val="00676AD8"/>
    <w:rsid w:val="00676C97"/>
    <w:rsid w:val="00676D63"/>
    <w:rsid w:val="006770DB"/>
    <w:rsid w:val="0067743E"/>
    <w:rsid w:val="00677665"/>
    <w:rsid w:val="00677A32"/>
    <w:rsid w:val="00677BE8"/>
    <w:rsid w:val="006803C1"/>
    <w:rsid w:val="00680CB7"/>
    <w:rsid w:val="00681077"/>
    <w:rsid w:val="0068134C"/>
    <w:rsid w:val="00681529"/>
    <w:rsid w:val="00681610"/>
    <w:rsid w:val="006816A2"/>
    <w:rsid w:val="00681A30"/>
    <w:rsid w:val="00681AE9"/>
    <w:rsid w:val="00681B80"/>
    <w:rsid w:val="00682014"/>
    <w:rsid w:val="00682284"/>
    <w:rsid w:val="00682312"/>
    <w:rsid w:val="00682579"/>
    <w:rsid w:val="0068297A"/>
    <w:rsid w:val="00682CE5"/>
    <w:rsid w:val="006838E8"/>
    <w:rsid w:val="00683E20"/>
    <w:rsid w:val="006840B1"/>
    <w:rsid w:val="0068466E"/>
    <w:rsid w:val="00684670"/>
    <w:rsid w:val="00684703"/>
    <w:rsid w:val="00684741"/>
    <w:rsid w:val="00684765"/>
    <w:rsid w:val="00684823"/>
    <w:rsid w:val="0068482E"/>
    <w:rsid w:val="0068499A"/>
    <w:rsid w:val="006851F4"/>
    <w:rsid w:val="0068565D"/>
    <w:rsid w:val="00685700"/>
    <w:rsid w:val="00685CD9"/>
    <w:rsid w:val="006863B7"/>
    <w:rsid w:val="0068694E"/>
    <w:rsid w:val="00686ABF"/>
    <w:rsid w:val="00686B33"/>
    <w:rsid w:val="00686B87"/>
    <w:rsid w:val="006870AE"/>
    <w:rsid w:val="006875E0"/>
    <w:rsid w:val="00687719"/>
    <w:rsid w:val="0068771D"/>
    <w:rsid w:val="00687FCE"/>
    <w:rsid w:val="006903F2"/>
    <w:rsid w:val="00690621"/>
    <w:rsid w:val="006906EC"/>
    <w:rsid w:val="006907B5"/>
    <w:rsid w:val="00690ACB"/>
    <w:rsid w:val="00690D81"/>
    <w:rsid w:val="00690F9B"/>
    <w:rsid w:val="0069130C"/>
    <w:rsid w:val="00691425"/>
    <w:rsid w:val="006915B6"/>
    <w:rsid w:val="00691A40"/>
    <w:rsid w:val="00691B2F"/>
    <w:rsid w:val="00692359"/>
    <w:rsid w:val="00692540"/>
    <w:rsid w:val="00692797"/>
    <w:rsid w:val="006928A1"/>
    <w:rsid w:val="006928DC"/>
    <w:rsid w:val="00693237"/>
    <w:rsid w:val="00693462"/>
    <w:rsid w:val="006938E5"/>
    <w:rsid w:val="0069413A"/>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AE5"/>
    <w:rsid w:val="00697BAD"/>
    <w:rsid w:val="006A006C"/>
    <w:rsid w:val="006A01C1"/>
    <w:rsid w:val="006A0399"/>
    <w:rsid w:val="006A075F"/>
    <w:rsid w:val="006A0B6D"/>
    <w:rsid w:val="006A0C9E"/>
    <w:rsid w:val="006A0E61"/>
    <w:rsid w:val="006A145D"/>
    <w:rsid w:val="006A1712"/>
    <w:rsid w:val="006A17A3"/>
    <w:rsid w:val="006A17C2"/>
    <w:rsid w:val="006A1A72"/>
    <w:rsid w:val="006A1CAF"/>
    <w:rsid w:val="006A1FFE"/>
    <w:rsid w:val="006A2073"/>
    <w:rsid w:val="006A28AA"/>
    <w:rsid w:val="006A2A12"/>
    <w:rsid w:val="006A2AB7"/>
    <w:rsid w:val="006A2CFF"/>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3D0"/>
    <w:rsid w:val="006A580D"/>
    <w:rsid w:val="006A5B81"/>
    <w:rsid w:val="006A6204"/>
    <w:rsid w:val="006A624F"/>
    <w:rsid w:val="006A637F"/>
    <w:rsid w:val="006A6458"/>
    <w:rsid w:val="006A68A0"/>
    <w:rsid w:val="006A69E1"/>
    <w:rsid w:val="006A6F14"/>
    <w:rsid w:val="006A72C6"/>
    <w:rsid w:val="006A75E3"/>
    <w:rsid w:val="006A791C"/>
    <w:rsid w:val="006A79D6"/>
    <w:rsid w:val="006A7C6F"/>
    <w:rsid w:val="006B0096"/>
    <w:rsid w:val="006B037B"/>
    <w:rsid w:val="006B03E3"/>
    <w:rsid w:val="006B0BBB"/>
    <w:rsid w:val="006B10B7"/>
    <w:rsid w:val="006B122B"/>
    <w:rsid w:val="006B1490"/>
    <w:rsid w:val="006B2302"/>
    <w:rsid w:val="006B2EBF"/>
    <w:rsid w:val="006B357F"/>
    <w:rsid w:val="006B38F2"/>
    <w:rsid w:val="006B3D1A"/>
    <w:rsid w:val="006B405B"/>
    <w:rsid w:val="006B40E8"/>
    <w:rsid w:val="006B4100"/>
    <w:rsid w:val="006B420D"/>
    <w:rsid w:val="006B4ADC"/>
    <w:rsid w:val="006B4C44"/>
    <w:rsid w:val="006B4CED"/>
    <w:rsid w:val="006B4DFB"/>
    <w:rsid w:val="006B4F66"/>
    <w:rsid w:val="006B506F"/>
    <w:rsid w:val="006B5538"/>
    <w:rsid w:val="006B564C"/>
    <w:rsid w:val="006B5A23"/>
    <w:rsid w:val="006B5B66"/>
    <w:rsid w:val="006B5BBF"/>
    <w:rsid w:val="006B5BC7"/>
    <w:rsid w:val="006B5EB5"/>
    <w:rsid w:val="006B6245"/>
    <w:rsid w:val="006B6648"/>
    <w:rsid w:val="006B66F2"/>
    <w:rsid w:val="006B7238"/>
    <w:rsid w:val="006B738B"/>
    <w:rsid w:val="006B790F"/>
    <w:rsid w:val="006B7F0E"/>
    <w:rsid w:val="006B7F49"/>
    <w:rsid w:val="006C00CB"/>
    <w:rsid w:val="006C0940"/>
    <w:rsid w:val="006C09E2"/>
    <w:rsid w:val="006C09F4"/>
    <w:rsid w:val="006C0E8E"/>
    <w:rsid w:val="006C1C6C"/>
    <w:rsid w:val="006C1E43"/>
    <w:rsid w:val="006C2445"/>
    <w:rsid w:val="006C24A6"/>
    <w:rsid w:val="006C27CF"/>
    <w:rsid w:val="006C2A35"/>
    <w:rsid w:val="006C2F64"/>
    <w:rsid w:val="006C331B"/>
    <w:rsid w:val="006C370F"/>
    <w:rsid w:val="006C393E"/>
    <w:rsid w:val="006C3D18"/>
    <w:rsid w:val="006C3E30"/>
    <w:rsid w:val="006C3ED8"/>
    <w:rsid w:val="006C3F47"/>
    <w:rsid w:val="006C3F51"/>
    <w:rsid w:val="006C41BB"/>
    <w:rsid w:val="006C4896"/>
    <w:rsid w:val="006C4F9B"/>
    <w:rsid w:val="006C5416"/>
    <w:rsid w:val="006C54AE"/>
    <w:rsid w:val="006C5503"/>
    <w:rsid w:val="006C559B"/>
    <w:rsid w:val="006C5B73"/>
    <w:rsid w:val="006C5E51"/>
    <w:rsid w:val="006C6B99"/>
    <w:rsid w:val="006C6DE4"/>
    <w:rsid w:val="006C7011"/>
    <w:rsid w:val="006C70DC"/>
    <w:rsid w:val="006C7332"/>
    <w:rsid w:val="006C7340"/>
    <w:rsid w:val="006C73A9"/>
    <w:rsid w:val="006C7E63"/>
    <w:rsid w:val="006C7EC0"/>
    <w:rsid w:val="006D001C"/>
    <w:rsid w:val="006D0214"/>
    <w:rsid w:val="006D07D9"/>
    <w:rsid w:val="006D1115"/>
    <w:rsid w:val="006D1423"/>
    <w:rsid w:val="006D16EF"/>
    <w:rsid w:val="006D16F1"/>
    <w:rsid w:val="006D1716"/>
    <w:rsid w:val="006D200D"/>
    <w:rsid w:val="006D20CF"/>
    <w:rsid w:val="006D2103"/>
    <w:rsid w:val="006D2329"/>
    <w:rsid w:val="006D24B4"/>
    <w:rsid w:val="006D27E1"/>
    <w:rsid w:val="006D30CE"/>
    <w:rsid w:val="006D3531"/>
    <w:rsid w:val="006D36DD"/>
    <w:rsid w:val="006D3930"/>
    <w:rsid w:val="006D3ADD"/>
    <w:rsid w:val="006D3F7E"/>
    <w:rsid w:val="006D402F"/>
    <w:rsid w:val="006D42CA"/>
    <w:rsid w:val="006D48CA"/>
    <w:rsid w:val="006D4918"/>
    <w:rsid w:val="006D4ABB"/>
    <w:rsid w:val="006D516E"/>
    <w:rsid w:val="006D52AB"/>
    <w:rsid w:val="006D53F2"/>
    <w:rsid w:val="006D5505"/>
    <w:rsid w:val="006D55EA"/>
    <w:rsid w:val="006D6374"/>
    <w:rsid w:val="006D658A"/>
    <w:rsid w:val="006D670B"/>
    <w:rsid w:val="006D6791"/>
    <w:rsid w:val="006D6BDA"/>
    <w:rsid w:val="006D6CB3"/>
    <w:rsid w:val="006D6FEC"/>
    <w:rsid w:val="006D706C"/>
    <w:rsid w:val="006D7A57"/>
    <w:rsid w:val="006D7AA1"/>
    <w:rsid w:val="006D7C53"/>
    <w:rsid w:val="006D7CED"/>
    <w:rsid w:val="006E001E"/>
    <w:rsid w:val="006E0041"/>
    <w:rsid w:val="006E0227"/>
    <w:rsid w:val="006E0497"/>
    <w:rsid w:val="006E0592"/>
    <w:rsid w:val="006E0790"/>
    <w:rsid w:val="006E08C7"/>
    <w:rsid w:val="006E097F"/>
    <w:rsid w:val="006E09FC"/>
    <w:rsid w:val="006E0BF7"/>
    <w:rsid w:val="006E0C87"/>
    <w:rsid w:val="006E0CAE"/>
    <w:rsid w:val="006E161B"/>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99"/>
    <w:rsid w:val="006E6FF6"/>
    <w:rsid w:val="006E72A4"/>
    <w:rsid w:val="006E741B"/>
    <w:rsid w:val="006E7751"/>
    <w:rsid w:val="006E79F3"/>
    <w:rsid w:val="006E7C88"/>
    <w:rsid w:val="006E7C97"/>
    <w:rsid w:val="006E7D95"/>
    <w:rsid w:val="006E7DB1"/>
    <w:rsid w:val="006E7E73"/>
    <w:rsid w:val="006E7FD2"/>
    <w:rsid w:val="006F0446"/>
    <w:rsid w:val="006F0835"/>
    <w:rsid w:val="006F0AEA"/>
    <w:rsid w:val="006F0F16"/>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37"/>
    <w:rsid w:val="006F42ED"/>
    <w:rsid w:val="006F43AF"/>
    <w:rsid w:val="006F4C74"/>
    <w:rsid w:val="006F4D55"/>
    <w:rsid w:val="006F50C7"/>
    <w:rsid w:val="006F532D"/>
    <w:rsid w:val="006F578A"/>
    <w:rsid w:val="006F5A24"/>
    <w:rsid w:val="006F5AB4"/>
    <w:rsid w:val="006F60B6"/>
    <w:rsid w:val="006F6740"/>
    <w:rsid w:val="006F6D72"/>
    <w:rsid w:val="006F6FCA"/>
    <w:rsid w:val="006F7301"/>
    <w:rsid w:val="006F7583"/>
    <w:rsid w:val="006F7911"/>
    <w:rsid w:val="006F7B47"/>
    <w:rsid w:val="006F7E3B"/>
    <w:rsid w:val="0070001C"/>
    <w:rsid w:val="007000C0"/>
    <w:rsid w:val="00700D21"/>
    <w:rsid w:val="00700E6B"/>
    <w:rsid w:val="007010F9"/>
    <w:rsid w:val="0070176A"/>
    <w:rsid w:val="00701A12"/>
    <w:rsid w:val="00701B81"/>
    <w:rsid w:val="00701C37"/>
    <w:rsid w:val="00702434"/>
    <w:rsid w:val="007029B8"/>
    <w:rsid w:val="00702BD1"/>
    <w:rsid w:val="00702FC9"/>
    <w:rsid w:val="007034FA"/>
    <w:rsid w:val="00703659"/>
    <w:rsid w:val="00703843"/>
    <w:rsid w:val="00703891"/>
    <w:rsid w:val="007038E0"/>
    <w:rsid w:val="00703A2A"/>
    <w:rsid w:val="00703BFB"/>
    <w:rsid w:val="00703EBA"/>
    <w:rsid w:val="00704160"/>
    <w:rsid w:val="0070478D"/>
    <w:rsid w:val="00705060"/>
    <w:rsid w:val="007055E4"/>
    <w:rsid w:val="00705720"/>
    <w:rsid w:val="0070593F"/>
    <w:rsid w:val="0070653C"/>
    <w:rsid w:val="00706D39"/>
    <w:rsid w:val="00706D6C"/>
    <w:rsid w:val="00706E24"/>
    <w:rsid w:val="00707007"/>
    <w:rsid w:val="00707545"/>
    <w:rsid w:val="007075D8"/>
    <w:rsid w:val="00707826"/>
    <w:rsid w:val="007079F9"/>
    <w:rsid w:val="00707EBD"/>
    <w:rsid w:val="00710069"/>
    <w:rsid w:val="0071021B"/>
    <w:rsid w:val="007102CC"/>
    <w:rsid w:val="00710700"/>
    <w:rsid w:val="00710ADE"/>
    <w:rsid w:val="007111DC"/>
    <w:rsid w:val="007114E1"/>
    <w:rsid w:val="00711A8B"/>
    <w:rsid w:val="00711E59"/>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66B"/>
    <w:rsid w:val="00715C99"/>
    <w:rsid w:val="00715CD6"/>
    <w:rsid w:val="00715FAD"/>
    <w:rsid w:val="0071673D"/>
    <w:rsid w:val="00716A47"/>
    <w:rsid w:val="00716B09"/>
    <w:rsid w:val="00716D26"/>
    <w:rsid w:val="00717049"/>
    <w:rsid w:val="00717230"/>
    <w:rsid w:val="0071724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133"/>
    <w:rsid w:val="007233F5"/>
    <w:rsid w:val="0072394C"/>
    <w:rsid w:val="00723A92"/>
    <w:rsid w:val="00723AC7"/>
    <w:rsid w:val="00723CFD"/>
    <w:rsid w:val="00723FFF"/>
    <w:rsid w:val="00724362"/>
    <w:rsid w:val="007243AC"/>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57"/>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616"/>
    <w:rsid w:val="0073294B"/>
    <w:rsid w:val="00732D7B"/>
    <w:rsid w:val="00733218"/>
    <w:rsid w:val="00733387"/>
    <w:rsid w:val="0073339C"/>
    <w:rsid w:val="0073377F"/>
    <w:rsid w:val="00733CEA"/>
    <w:rsid w:val="0073410F"/>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D32"/>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BF"/>
    <w:rsid w:val="0074185F"/>
    <w:rsid w:val="007423FE"/>
    <w:rsid w:val="007425EE"/>
    <w:rsid w:val="00742DAD"/>
    <w:rsid w:val="0074332F"/>
    <w:rsid w:val="007433FA"/>
    <w:rsid w:val="00743594"/>
    <w:rsid w:val="0074378B"/>
    <w:rsid w:val="00743970"/>
    <w:rsid w:val="00743A17"/>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51C"/>
    <w:rsid w:val="00747761"/>
    <w:rsid w:val="00747776"/>
    <w:rsid w:val="00747FF7"/>
    <w:rsid w:val="00750186"/>
    <w:rsid w:val="007505F6"/>
    <w:rsid w:val="0075061D"/>
    <w:rsid w:val="007510F0"/>
    <w:rsid w:val="00751256"/>
    <w:rsid w:val="0075148E"/>
    <w:rsid w:val="00751806"/>
    <w:rsid w:val="007518F2"/>
    <w:rsid w:val="00752197"/>
    <w:rsid w:val="007521C3"/>
    <w:rsid w:val="0075224B"/>
    <w:rsid w:val="007522A6"/>
    <w:rsid w:val="00752490"/>
    <w:rsid w:val="007526F4"/>
    <w:rsid w:val="00752764"/>
    <w:rsid w:val="00752901"/>
    <w:rsid w:val="0075299D"/>
    <w:rsid w:val="00752A6B"/>
    <w:rsid w:val="00752BA5"/>
    <w:rsid w:val="00752C9D"/>
    <w:rsid w:val="00752E3B"/>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EB4"/>
    <w:rsid w:val="00757FE9"/>
    <w:rsid w:val="00757FF8"/>
    <w:rsid w:val="00760980"/>
    <w:rsid w:val="00760CD4"/>
    <w:rsid w:val="00760FB1"/>
    <w:rsid w:val="0076183F"/>
    <w:rsid w:val="00761DE6"/>
    <w:rsid w:val="00761F62"/>
    <w:rsid w:val="007629F7"/>
    <w:rsid w:val="00762BB8"/>
    <w:rsid w:val="00762EA8"/>
    <w:rsid w:val="007632A4"/>
    <w:rsid w:val="00763384"/>
    <w:rsid w:val="00763415"/>
    <w:rsid w:val="00763666"/>
    <w:rsid w:val="007637B7"/>
    <w:rsid w:val="0076446C"/>
    <w:rsid w:val="0076460B"/>
    <w:rsid w:val="00764939"/>
    <w:rsid w:val="00764A54"/>
    <w:rsid w:val="00764C78"/>
    <w:rsid w:val="00764D34"/>
    <w:rsid w:val="00764E83"/>
    <w:rsid w:val="00765976"/>
    <w:rsid w:val="00765A88"/>
    <w:rsid w:val="00766670"/>
    <w:rsid w:val="007666B1"/>
    <w:rsid w:val="0076684F"/>
    <w:rsid w:val="00766BA8"/>
    <w:rsid w:val="00766E01"/>
    <w:rsid w:val="0076700F"/>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962"/>
    <w:rsid w:val="00772A24"/>
    <w:rsid w:val="00772B2E"/>
    <w:rsid w:val="00772F1B"/>
    <w:rsid w:val="00773006"/>
    <w:rsid w:val="00773548"/>
    <w:rsid w:val="00773551"/>
    <w:rsid w:val="00773AAB"/>
    <w:rsid w:val="00773AB3"/>
    <w:rsid w:val="00773B8A"/>
    <w:rsid w:val="00773DB8"/>
    <w:rsid w:val="00774058"/>
    <w:rsid w:val="00774261"/>
    <w:rsid w:val="0077436F"/>
    <w:rsid w:val="00774630"/>
    <w:rsid w:val="00774739"/>
    <w:rsid w:val="00774A6E"/>
    <w:rsid w:val="00774CA6"/>
    <w:rsid w:val="0077537E"/>
    <w:rsid w:val="007757BD"/>
    <w:rsid w:val="007759DB"/>
    <w:rsid w:val="00775C54"/>
    <w:rsid w:val="00775C9F"/>
    <w:rsid w:val="00775DE5"/>
    <w:rsid w:val="00776075"/>
    <w:rsid w:val="007762A1"/>
    <w:rsid w:val="0077632B"/>
    <w:rsid w:val="0077636E"/>
    <w:rsid w:val="007768F1"/>
    <w:rsid w:val="00776D21"/>
    <w:rsid w:val="00776ED8"/>
    <w:rsid w:val="00777053"/>
    <w:rsid w:val="007772CE"/>
    <w:rsid w:val="007775D9"/>
    <w:rsid w:val="007776C7"/>
    <w:rsid w:val="00777D0E"/>
    <w:rsid w:val="00780391"/>
    <w:rsid w:val="0078104B"/>
    <w:rsid w:val="0078129F"/>
    <w:rsid w:val="00781B8D"/>
    <w:rsid w:val="00781E7B"/>
    <w:rsid w:val="0078206C"/>
    <w:rsid w:val="007821EF"/>
    <w:rsid w:val="00782203"/>
    <w:rsid w:val="00782227"/>
    <w:rsid w:val="007822B1"/>
    <w:rsid w:val="00782320"/>
    <w:rsid w:val="0078235D"/>
    <w:rsid w:val="00782C2C"/>
    <w:rsid w:val="00782D41"/>
    <w:rsid w:val="00782FEE"/>
    <w:rsid w:val="007830EA"/>
    <w:rsid w:val="007833A2"/>
    <w:rsid w:val="00783433"/>
    <w:rsid w:val="00783451"/>
    <w:rsid w:val="0078366D"/>
    <w:rsid w:val="00783A0A"/>
    <w:rsid w:val="00783A4B"/>
    <w:rsid w:val="00783C86"/>
    <w:rsid w:val="00783F77"/>
    <w:rsid w:val="00784138"/>
    <w:rsid w:val="00784637"/>
    <w:rsid w:val="007849BE"/>
    <w:rsid w:val="00784AEC"/>
    <w:rsid w:val="00785293"/>
    <w:rsid w:val="00785482"/>
    <w:rsid w:val="00785F2B"/>
    <w:rsid w:val="00786158"/>
    <w:rsid w:val="00786159"/>
    <w:rsid w:val="00786289"/>
    <w:rsid w:val="00786414"/>
    <w:rsid w:val="0078641A"/>
    <w:rsid w:val="007866CD"/>
    <w:rsid w:val="00786CF9"/>
    <w:rsid w:val="007872CC"/>
    <w:rsid w:val="007875E9"/>
    <w:rsid w:val="007879A6"/>
    <w:rsid w:val="00787BC9"/>
    <w:rsid w:val="00787BD5"/>
    <w:rsid w:val="00787D7E"/>
    <w:rsid w:val="00787F20"/>
    <w:rsid w:val="007900A3"/>
    <w:rsid w:val="0079019C"/>
    <w:rsid w:val="007902EA"/>
    <w:rsid w:val="0079047E"/>
    <w:rsid w:val="00790648"/>
    <w:rsid w:val="0079089A"/>
    <w:rsid w:val="00790ACD"/>
    <w:rsid w:val="00790C60"/>
    <w:rsid w:val="00790EED"/>
    <w:rsid w:val="0079140A"/>
    <w:rsid w:val="00791464"/>
    <w:rsid w:val="007915C0"/>
    <w:rsid w:val="007915EA"/>
    <w:rsid w:val="00791BBE"/>
    <w:rsid w:val="0079226A"/>
    <w:rsid w:val="0079271E"/>
    <w:rsid w:val="00792A2D"/>
    <w:rsid w:val="00792F8E"/>
    <w:rsid w:val="00793582"/>
    <w:rsid w:val="00793621"/>
    <w:rsid w:val="007936F9"/>
    <w:rsid w:val="00794023"/>
    <w:rsid w:val="00794163"/>
    <w:rsid w:val="007944C0"/>
    <w:rsid w:val="00794619"/>
    <w:rsid w:val="00794A94"/>
    <w:rsid w:val="00794B42"/>
    <w:rsid w:val="00795327"/>
    <w:rsid w:val="00795344"/>
    <w:rsid w:val="00795644"/>
    <w:rsid w:val="00795973"/>
    <w:rsid w:val="00795C51"/>
    <w:rsid w:val="00795CE7"/>
    <w:rsid w:val="007966AB"/>
    <w:rsid w:val="007966C6"/>
    <w:rsid w:val="0079695E"/>
    <w:rsid w:val="00796B5C"/>
    <w:rsid w:val="00796C15"/>
    <w:rsid w:val="00796E88"/>
    <w:rsid w:val="00796ED9"/>
    <w:rsid w:val="00796F9A"/>
    <w:rsid w:val="00796FAE"/>
    <w:rsid w:val="00797520"/>
    <w:rsid w:val="00797B63"/>
    <w:rsid w:val="00797BDE"/>
    <w:rsid w:val="00797EB1"/>
    <w:rsid w:val="00797FA8"/>
    <w:rsid w:val="00797FC7"/>
    <w:rsid w:val="007A01F0"/>
    <w:rsid w:val="007A0B15"/>
    <w:rsid w:val="007A0CE3"/>
    <w:rsid w:val="007A0D35"/>
    <w:rsid w:val="007A0D55"/>
    <w:rsid w:val="007A0E12"/>
    <w:rsid w:val="007A0E13"/>
    <w:rsid w:val="007A1017"/>
    <w:rsid w:val="007A10C5"/>
    <w:rsid w:val="007A132D"/>
    <w:rsid w:val="007A157E"/>
    <w:rsid w:val="007A1A14"/>
    <w:rsid w:val="007A1D4C"/>
    <w:rsid w:val="007A20B6"/>
    <w:rsid w:val="007A246F"/>
    <w:rsid w:val="007A2C2C"/>
    <w:rsid w:val="007A2EC8"/>
    <w:rsid w:val="007A320A"/>
    <w:rsid w:val="007A34DF"/>
    <w:rsid w:val="007A3614"/>
    <w:rsid w:val="007A388C"/>
    <w:rsid w:val="007A3DA8"/>
    <w:rsid w:val="007A3DDA"/>
    <w:rsid w:val="007A3E61"/>
    <w:rsid w:val="007A4088"/>
    <w:rsid w:val="007A442A"/>
    <w:rsid w:val="007A4AAA"/>
    <w:rsid w:val="007A4FBD"/>
    <w:rsid w:val="007A5AF9"/>
    <w:rsid w:val="007A5B58"/>
    <w:rsid w:val="007A5D63"/>
    <w:rsid w:val="007A617D"/>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A0E"/>
    <w:rsid w:val="007B1EC7"/>
    <w:rsid w:val="007B24C2"/>
    <w:rsid w:val="007B28BF"/>
    <w:rsid w:val="007B2AC5"/>
    <w:rsid w:val="007B2F65"/>
    <w:rsid w:val="007B2FCD"/>
    <w:rsid w:val="007B31A3"/>
    <w:rsid w:val="007B328F"/>
    <w:rsid w:val="007B3DA4"/>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6A7"/>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19"/>
    <w:rsid w:val="007C3AEE"/>
    <w:rsid w:val="007C3DF9"/>
    <w:rsid w:val="007C4068"/>
    <w:rsid w:val="007C445F"/>
    <w:rsid w:val="007C47E5"/>
    <w:rsid w:val="007C4B0F"/>
    <w:rsid w:val="007C4FE9"/>
    <w:rsid w:val="007C521A"/>
    <w:rsid w:val="007C52D7"/>
    <w:rsid w:val="007C5B72"/>
    <w:rsid w:val="007C5EE7"/>
    <w:rsid w:val="007C60F1"/>
    <w:rsid w:val="007C6233"/>
    <w:rsid w:val="007C6397"/>
    <w:rsid w:val="007C6D9B"/>
    <w:rsid w:val="007C74DD"/>
    <w:rsid w:val="007C750D"/>
    <w:rsid w:val="007C76B1"/>
    <w:rsid w:val="007C7D7A"/>
    <w:rsid w:val="007C7D90"/>
    <w:rsid w:val="007D0082"/>
    <w:rsid w:val="007D088D"/>
    <w:rsid w:val="007D0F59"/>
    <w:rsid w:val="007D0F8D"/>
    <w:rsid w:val="007D12C1"/>
    <w:rsid w:val="007D13C2"/>
    <w:rsid w:val="007D1546"/>
    <w:rsid w:val="007D17E3"/>
    <w:rsid w:val="007D1990"/>
    <w:rsid w:val="007D1AEA"/>
    <w:rsid w:val="007D1BCD"/>
    <w:rsid w:val="007D1E4B"/>
    <w:rsid w:val="007D2084"/>
    <w:rsid w:val="007D27E0"/>
    <w:rsid w:val="007D2A41"/>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4EF"/>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A7F"/>
    <w:rsid w:val="007E3B46"/>
    <w:rsid w:val="007E3E3E"/>
    <w:rsid w:val="007E4AC7"/>
    <w:rsid w:val="007E4B66"/>
    <w:rsid w:val="007E4CF4"/>
    <w:rsid w:val="007E5069"/>
    <w:rsid w:val="007E539E"/>
    <w:rsid w:val="007E5473"/>
    <w:rsid w:val="007E5852"/>
    <w:rsid w:val="007E5C89"/>
    <w:rsid w:val="007E5F4C"/>
    <w:rsid w:val="007E6015"/>
    <w:rsid w:val="007E60D2"/>
    <w:rsid w:val="007E679D"/>
    <w:rsid w:val="007E6840"/>
    <w:rsid w:val="007E6B0C"/>
    <w:rsid w:val="007E6C0E"/>
    <w:rsid w:val="007E72C9"/>
    <w:rsid w:val="007E765E"/>
    <w:rsid w:val="007E7919"/>
    <w:rsid w:val="007E7A4D"/>
    <w:rsid w:val="007E7C00"/>
    <w:rsid w:val="007F0030"/>
    <w:rsid w:val="007F0545"/>
    <w:rsid w:val="007F07BA"/>
    <w:rsid w:val="007F0A58"/>
    <w:rsid w:val="007F0D75"/>
    <w:rsid w:val="007F0E18"/>
    <w:rsid w:val="007F1051"/>
    <w:rsid w:val="007F148A"/>
    <w:rsid w:val="007F16A8"/>
    <w:rsid w:val="007F17D1"/>
    <w:rsid w:val="007F26FA"/>
    <w:rsid w:val="007F2738"/>
    <w:rsid w:val="007F3264"/>
    <w:rsid w:val="007F34E3"/>
    <w:rsid w:val="007F373A"/>
    <w:rsid w:val="007F3A68"/>
    <w:rsid w:val="007F3ACD"/>
    <w:rsid w:val="007F3BBA"/>
    <w:rsid w:val="007F3BE1"/>
    <w:rsid w:val="007F3C81"/>
    <w:rsid w:val="007F3D69"/>
    <w:rsid w:val="007F4011"/>
    <w:rsid w:val="007F4045"/>
    <w:rsid w:val="007F423F"/>
    <w:rsid w:val="007F42BA"/>
    <w:rsid w:val="007F42EC"/>
    <w:rsid w:val="007F44DA"/>
    <w:rsid w:val="007F45DE"/>
    <w:rsid w:val="007F4781"/>
    <w:rsid w:val="007F487E"/>
    <w:rsid w:val="007F4A82"/>
    <w:rsid w:val="007F4B5B"/>
    <w:rsid w:val="007F4BD4"/>
    <w:rsid w:val="007F4D40"/>
    <w:rsid w:val="007F4DF9"/>
    <w:rsid w:val="007F55EB"/>
    <w:rsid w:val="007F58C6"/>
    <w:rsid w:val="007F58F8"/>
    <w:rsid w:val="007F59CE"/>
    <w:rsid w:val="007F5BB6"/>
    <w:rsid w:val="007F6042"/>
    <w:rsid w:val="007F61CA"/>
    <w:rsid w:val="007F655E"/>
    <w:rsid w:val="007F6B40"/>
    <w:rsid w:val="007F6DB6"/>
    <w:rsid w:val="007F6E18"/>
    <w:rsid w:val="007F746B"/>
    <w:rsid w:val="007F74B3"/>
    <w:rsid w:val="007F7939"/>
    <w:rsid w:val="007F79DD"/>
    <w:rsid w:val="007F7A4A"/>
    <w:rsid w:val="007F7E46"/>
    <w:rsid w:val="0080004E"/>
    <w:rsid w:val="008002B7"/>
    <w:rsid w:val="00800603"/>
    <w:rsid w:val="00800796"/>
    <w:rsid w:val="00801109"/>
    <w:rsid w:val="008012EA"/>
    <w:rsid w:val="00801382"/>
    <w:rsid w:val="0080149C"/>
    <w:rsid w:val="008020EF"/>
    <w:rsid w:val="0080235B"/>
    <w:rsid w:val="0080379F"/>
    <w:rsid w:val="00803A66"/>
    <w:rsid w:val="00803AE8"/>
    <w:rsid w:val="00803B36"/>
    <w:rsid w:val="00803FA0"/>
    <w:rsid w:val="00804677"/>
    <w:rsid w:val="0080484F"/>
    <w:rsid w:val="00805004"/>
    <w:rsid w:val="00805143"/>
    <w:rsid w:val="00805812"/>
    <w:rsid w:val="00805D65"/>
    <w:rsid w:val="00805E00"/>
    <w:rsid w:val="00806013"/>
    <w:rsid w:val="008061AC"/>
    <w:rsid w:val="00806293"/>
    <w:rsid w:val="008062D1"/>
    <w:rsid w:val="00806F59"/>
    <w:rsid w:val="0080726D"/>
    <w:rsid w:val="00807491"/>
    <w:rsid w:val="00807526"/>
    <w:rsid w:val="00807716"/>
    <w:rsid w:val="00807AD2"/>
    <w:rsid w:val="00807AE3"/>
    <w:rsid w:val="00807F5C"/>
    <w:rsid w:val="00807FF6"/>
    <w:rsid w:val="00810050"/>
    <w:rsid w:val="008107C1"/>
    <w:rsid w:val="0081086F"/>
    <w:rsid w:val="00810AE4"/>
    <w:rsid w:val="00810D24"/>
    <w:rsid w:val="00810EC2"/>
    <w:rsid w:val="008111AE"/>
    <w:rsid w:val="00811229"/>
    <w:rsid w:val="008112C2"/>
    <w:rsid w:val="00811944"/>
    <w:rsid w:val="008119CD"/>
    <w:rsid w:val="00811BB4"/>
    <w:rsid w:val="00811CD4"/>
    <w:rsid w:val="00812168"/>
    <w:rsid w:val="008121EF"/>
    <w:rsid w:val="008124CB"/>
    <w:rsid w:val="008125CF"/>
    <w:rsid w:val="0081298D"/>
    <w:rsid w:val="00812F96"/>
    <w:rsid w:val="0081319A"/>
    <w:rsid w:val="0081320C"/>
    <w:rsid w:val="00813236"/>
    <w:rsid w:val="00813399"/>
    <w:rsid w:val="008135BC"/>
    <w:rsid w:val="0081396A"/>
    <w:rsid w:val="00813B39"/>
    <w:rsid w:val="00813B9E"/>
    <w:rsid w:val="00813CBF"/>
    <w:rsid w:val="0081402E"/>
    <w:rsid w:val="008145E1"/>
    <w:rsid w:val="00814620"/>
    <w:rsid w:val="00814655"/>
    <w:rsid w:val="008146DD"/>
    <w:rsid w:val="008148B3"/>
    <w:rsid w:val="008149BE"/>
    <w:rsid w:val="00814D10"/>
    <w:rsid w:val="00815192"/>
    <w:rsid w:val="008159B9"/>
    <w:rsid w:val="008159BB"/>
    <w:rsid w:val="00815E46"/>
    <w:rsid w:val="0081608E"/>
    <w:rsid w:val="00816132"/>
    <w:rsid w:val="00816135"/>
    <w:rsid w:val="008164A6"/>
    <w:rsid w:val="0081674E"/>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8A0"/>
    <w:rsid w:val="00823B25"/>
    <w:rsid w:val="00823C64"/>
    <w:rsid w:val="00823D5A"/>
    <w:rsid w:val="0082427C"/>
    <w:rsid w:val="0082442D"/>
    <w:rsid w:val="0082465A"/>
    <w:rsid w:val="008246C6"/>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18D"/>
    <w:rsid w:val="008303CA"/>
    <w:rsid w:val="00830606"/>
    <w:rsid w:val="008306C4"/>
    <w:rsid w:val="00830746"/>
    <w:rsid w:val="0083092C"/>
    <w:rsid w:val="00830958"/>
    <w:rsid w:val="00830DC9"/>
    <w:rsid w:val="00830E3F"/>
    <w:rsid w:val="00831241"/>
    <w:rsid w:val="008313E3"/>
    <w:rsid w:val="008316CB"/>
    <w:rsid w:val="00831757"/>
    <w:rsid w:val="008317EC"/>
    <w:rsid w:val="00831B92"/>
    <w:rsid w:val="00831D80"/>
    <w:rsid w:val="00831EA7"/>
    <w:rsid w:val="00831EE5"/>
    <w:rsid w:val="008321A6"/>
    <w:rsid w:val="0083242E"/>
    <w:rsid w:val="00832950"/>
    <w:rsid w:val="00832BB1"/>
    <w:rsid w:val="0083300B"/>
    <w:rsid w:val="008334BB"/>
    <w:rsid w:val="008334F0"/>
    <w:rsid w:val="008334FA"/>
    <w:rsid w:val="0083356A"/>
    <w:rsid w:val="00833821"/>
    <w:rsid w:val="008338C2"/>
    <w:rsid w:val="00833B35"/>
    <w:rsid w:val="00833D37"/>
    <w:rsid w:val="0083400C"/>
    <w:rsid w:val="00834200"/>
    <w:rsid w:val="00834E81"/>
    <w:rsid w:val="00835004"/>
    <w:rsid w:val="008353C8"/>
    <w:rsid w:val="00835677"/>
    <w:rsid w:val="0083574D"/>
    <w:rsid w:val="00835B59"/>
    <w:rsid w:val="00835BF9"/>
    <w:rsid w:val="00835EDA"/>
    <w:rsid w:val="00835FBA"/>
    <w:rsid w:val="00836096"/>
    <w:rsid w:val="00836350"/>
    <w:rsid w:val="008364F3"/>
    <w:rsid w:val="00836A5A"/>
    <w:rsid w:val="0083703B"/>
    <w:rsid w:val="00837142"/>
    <w:rsid w:val="0083730C"/>
    <w:rsid w:val="00837957"/>
    <w:rsid w:val="008379DB"/>
    <w:rsid w:val="00837AE5"/>
    <w:rsid w:val="00837AE7"/>
    <w:rsid w:val="00840141"/>
    <w:rsid w:val="00840406"/>
    <w:rsid w:val="00840CF5"/>
    <w:rsid w:val="00840D35"/>
    <w:rsid w:val="00840D36"/>
    <w:rsid w:val="008414FC"/>
    <w:rsid w:val="0084186A"/>
    <w:rsid w:val="00841DD6"/>
    <w:rsid w:val="00841E49"/>
    <w:rsid w:val="008420B9"/>
    <w:rsid w:val="00842340"/>
    <w:rsid w:val="008430F5"/>
    <w:rsid w:val="00843547"/>
    <w:rsid w:val="0084397B"/>
    <w:rsid w:val="00843A34"/>
    <w:rsid w:val="00843BAD"/>
    <w:rsid w:val="00843F12"/>
    <w:rsid w:val="008444B7"/>
    <w:rsid w:val="0084484D"/>
    <w:rsid w:val="00844992"/>
    <w:rsid w:val="00844D15"/>
    <w:rsid w:val="00844EAB"/>
    <w:rsid w:val="00844F24"/>
    <w:rsid w:val="008454B5"/>
    <w:rsid w:val="00845692"/>
    <w:rsid w:val="008456EB"/>
    <w:rsid w:val="008458A1"/>
    <w:rsid w:val="008459EA"/>
    <w:rsid w:val="0084636B"/>
    <w:rsid w:val="008464FF"/>
    <w:rsid w:val="00846779"/>
    <w:rsid w:val="00846AD4"/>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249"/>
    <w:rsid w:val="0085356F"/>
    <w:rsid w:val="008536D1"/>
    <w:rsid w:val="00853BFE"/>
    <w:rsid w:val="0085405C"/>
    <w:rsid w:val="008541E7"/>
    <w:rsid w:val="00854627"/>
    <w:rsid w:val="00854693"/>
    <w:rsid w:val="008548A6"/>
    <w:rsid w:val="00854956"/>
    <w:rsid w:val="008549E7"/>
    <w:rsid w:val="00854A66"/>
    <w:rsid w:val="00854A70"/>
    <w:rsid w:val="00854C1F"/>
    <w:rsid w:val="00854CA6"/>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C89"/>
    <w:rsid w:val="00857D02"/>
    <w:rsid w:val="00857E65"/>
    <w:rsid w:val="008605C5"/>
    <w:rsid w:val="0086075F"/>
    <w:rsid w:val="008608B8"/>
    <w:rsid w:val="00860A5F"/>
    <w:rsid w:val="00860B90"/>
    <w:rsid w:val="00860BEB"/>
    <w:rsid w:val="00860C4A"/>
    <w:rsid w:val="00860D07"/>
    <w:rsid w:val="00860EED"/>
    <w:rsid w:val="00861114"/>
    <w:rsid w:val="00861197"/>
    <w:rsid w:val="008616A7"/>
    <w:rsid w:val="00861805"/>
    <w:rsid w:val="00861F8F"/>
    <w:rsid w:val="00862061"/>
    <w:rsid w:val="008624EA"/>
    <w:rsid w:val="0086253A"/>
    <w:rsid w:val="00862AD8"/>
    <w:rsid w:val="00862D15"/>
    <w:rsid w:val="00862F5D"/>
    <w:rsid w:val="008635AC"/>
    <w:rsid w:val="0086371B"/>
    <w:rsid w:val="00863750"/>
    <w:rsid w:val="008637D9"/>
    <w:rsid w:val="0086386F"/>
    <w:rsid w:val="00863959"/>
    <w:rsid w:val="00863A68"/>
    <w:rsid w:val="00863EFA"/>
    <w:rsid w:val="00863F67"/>
    <w:rsid w:val="008640E5"/>
    <w:rsid w:val="0086411C"/>
    <w:rsid w:val="00864260"/>
    <w:rsid w:val="008642D6"/>
    <w:rsid w:val="00864B69"/>
    <w:rsid w:val="00864B72"/>
    <w:rsid w:val="00864CF3"/>
    <w:rsid w:val="00864D5D"/>
    <w:rsid w:val="00865088"/>
    <w:rsid w:val="0086515E"/>
    <w:rsid w:val="008653D0"/>
    <w:rsid w:val="00865504"/>
    <w:rsid w:val="00865C91"/>
    <w:rsid w:val="0086639A"/>
    <w:rsid w:val="0086673A"/>
    <w:rsid w:val="00866A4B"/>
    <w:rsid w:val="00866D4B"/>
    <w:rsid w:val="008671FF"/>
    <w:rsid w:val="00867491"/>
    <w:rsid w:val="00867BBC"/>
    <w:rsid w:val="00867BD8"/>
    <w:rsid w:val="00867C69"/>
    <w:rsid w:val="008703FC"/>
    <w:rsid w:val="0087098E"/>
    <w:rsid w:val="00870DF3"/>
    <w:rsid w:val="0087109B"/>
    <w:rsid w:val="008712DE"/>
    <w:rsid w:val="00871913"/>
    <w:rsid w:val="00871AD6"/>
    <w:rsid w:val="00871B23"/>
    <w:rsid w:val="00871FEA"/>
    <w:rsid w:val="0087208A"/>
    <w:rsid w:val="008724C4"/>
    <w:rsid w:val="0087285C"/>
    <w:rsid w:val="0087298D"/>
    <w:rsid w:val="008730D2"/>
    <w:rsid w:val="0087322A"/>
    <w:rsid w:val="00873BE9"/>
    <w:rsid w:val="00873D5A"/>
    <w:rsid w:val="00874013"/>
    <w:rsid w:val="008744F8"/>
    <w:rsid w:val="00874B12"/>
    <w:rsid w:val="00874C1B"/>
    <w:rsid w:val="00874C80"/>
    <w:rsid w:val="00874EC2"/>
    <w:rsid w:val="00874F18"/>
    <w:rsid w:val="00874F8B"/>
    <w:rsid w:val="008750F3"/>
    <w:rsid w:val="00875238"/>
    <w:rsid w:val="00875538"/>
    <w:rsid w:val="00875C21"/>
    <w:rsid w:val="00875D1B"/>
    <w:rsid w:val="00875F3F"/>
    <w:rsid w:val="0087622F"/>
    <w:rsid w:val="0087624A"/>
    <w:rsid w:val="008762AE"/>
    <w:rsid w:val="0087630D"/>
    <w:rsid w:val="008765A0"/>
    <w:rsid w:val="008765FD"/>
    <w:rsid w:val="00876929"/>
    <w:rsid w:val="00876D6A"/>
    <w:rsid w:val="00876EEE"/>
    <w:rsid w:val="00876F3C"/>
    <w:rsid w:val="00877799"/>
    <w:rsid w:val="00877AD9"/>
    <w:rsid w:val="00877BFD"/>
    <w:rsid w:val="00877D90"/>
    <w:rsid w:val="00877F00"/>
    <w:rsid w:val="0088030A"/>
    <w:rsid w:val="00880566"/>
    <w:rsid w:val="00880748"/>
    <w:rsid w:val="00880D73"/>
    <w:rsid w:val="00880E74"/>
    <w:rsid w:val="008811F4"/>
    <w:rsid w:val="008813A4"/>
    <w:rsid w:val="008817EE"/>
    <w:rsid w:val="00881838"/>
    <w:rsid w:val="0088194D"/>
    <w:rsid w:val="008819D9"/>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D58"/>
    <w:rsid w:val="00887E3F"/>
    <w:rsid w:val="00887E73"/>
    <w:rsid w:val="00887EA4"/>
    <w:rsid w:val="00890BC7"/>
    <w:rsid w:val="00890E84"/>
    <w:rsid w:val="008917BD"/>
    <w:rsid w:val="00891A49"/>
    <w:rsid w:val="00891DFD"/>
    <w:rsid w:val="00892214"/>
    <w:rsid w:val="008927C1"/>
    <w:rsid w:val="0089289F"/>
    <w:rsid w:val="00892E15"/>
    <w:rsid w:val="008932E8"/>
    <w:rsid w:val="008938BA"/>
    <w:rsid w:val="008939AA"/>
    <w:rsid w:val="008939F7"/>
    <w:rsid w:val="00893A64"/>
    <w:rsid w:val="00893D2A"/>
    <w:rsid w:val="00894108"/>
    <w:rsid w:val="00894820"/>
    <w:rsid w:val="0089489E"/>
    <w:rsid w:val="00894DE9"/>
    <w:rsid w:val="008952C7"/>
    <w:rsid w:val="008954A8"/>
    <w:rsid w:val="00895680"/>
    <w:rsid w:val="008957B0"/>
    <w:rsid w:val="008957BE"/>
    <w:rsid w:val="008959EF"/>
    <w:rsid w:val="00895C2D"/>
    <w:rsid w:val="00895C6F"/>
    <w:rsid w:val="00896007"/>
    <w:rsid w:val="00896230"/>
    <w:rsid w:val="0089651F"/>
    <w:rsid w:val="0089668D"/>
    <w:rsid w:val="008967CD"/>
    <w:rsid w:val="00896824"/>
    <w:rsid w:val="008969D2"/>
    <w:rsid w:val="00896AE7"/>
    <w:rsid w:val="00896C23"/>
    <w:rsid w:val="00896C56"/>
    <w:rsid w:val="00896C61"/>
    <w:rsid w:val="00896CA0"/>
    <w:rsid w:val="0089708E"/>
    <w:rsid w:val="008973F3"/>
    <w:rsid w:val="00897404"/>
    <w:rsid w:val="00897677"/>
    <w:rsid w:val="008977BA"/>
    <w:rsid w:val="0089787F"/>
    <w:rsid w:val="00897A9C"/>
    <w:rsid w:val="008A054E"/>
    <w:rsid w:val="008A0B44"/>
    <w:rsid w:val="008A0E04"/>
    <w:rsid w:val="008A0F67"/>
    <w:rsid w:val="008A109A"/>
    <w:rsid w:val="008A1473"/>
    <w:rsid w:val="008A14E1"/>
    <w:rsid w:val="008A1D82"/>
    <w:rsid w:val="008A1FE1"/>
    <w:rsid w:val="008A2316"/>
    <w:rsid w:val="008A2680"/>
    <w:rsid w:val="008A27B1"/>
    <w:rsid w:val="008A295F"/>
    <w:rsid w:val="008A2E27"/>
    <w:rsid w:val="008A30CC"/>
    <w:rsid w:val="008A311B"/>
    <w:rsid w:val="008A31B9"/>
    <w:rsid w:val="008A32A3"/>
    <w:rsid w:val="008A3AFD"/>
    <w:rsid w:val="008A3B38"/>
    <w:rsid w:val="008A3B92"/>
    <w:rsid w:val="008A3E29"/>
    <w:rsid w:val="008A3EAE"/>
    <w:rsid w:val="008A3F24"/>
    <w:rsid w:val="008A40CA"/>
    <w:rsid w:val="008A46BC"/>
    <w:rsid w:val="008A46F4"/>
    <w:rsid w:val="008A4DCA"/>
    <w:rsid w:val="008A50FD"/>
    <w:rsid w:val="008A5259"/>
    <w:rsid w:val="008A53B5"/>
    <w:rsid w:val="008A5F62"/>
    <w:rsid w:val="008A6130"/>
    <w:rsid w:val="008A6229"/>
    <w:rsid w:val="008A6323"/>
    <w:rsid w:val="008A67E2"/>
    <w:rsid w:val="008A685F"/>
    <w:rsid w:val="008A688D"/>
    <w:rsid w:val="008A6F92"/>
    <w:rsid w:val="008A6FDA"/>
    <w:rsid w:val="008A7402"/>
    <w:rsid w:val="008A747E"/>
    <w:rsid w:val="008A749E"/>
    <w:rsid w:val="008A773A"/>
    <w:rsid w:val="008A79FA"/>
    <w:rsid w:val="008A7B95"/>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ADA"/>
    <w:rsid w:val="008B4EA1"/>
    <w:rsid w:val="008B4F62"/>
    <w:rsid w:val="008B528A"/>
    <w:rsid w:val="008B52F3"/>
    <w:rsid w:val="008B5653"/>
    <w:rsid w:val="008B57C4"/>
    <w:rsid w:val="008B5852"/>
    <w:rsid w:val="008B5AE8"/>
    <w:rsid w:val="008B5B6D"/>
    <w:rsid w:val="008B6238"/>
    <w:rsid w:val="008B6788"/>
    <w:rsid w:val="008B683C"/>
    <w:rsid w:val="008B68AA"/>
    <w:rsid w:val="008B6B2C"/>
    <w:rsid w:val="008B703F"/>
    <w:rsid w:val="008B71A3"/>
    <w:rsid w:val="008B7523"/>
    <w:rsid w:val="008B767B"/>
    <w:rsid w:val="008C001A"/>
    <w:rsid w:val="008C04CB"/>
    <w:rsid w:val="008C054D"/>
    <w:rsid w:val="008C05B9"/>
    <w:rsid w:val="008C0631"/>
    <w:rsid w:val="008C0D65"/>
    <w:rsid w:val="008C0E72"/>
    <w:rsid w:val="008C10C8"/>
    <w:rsid w:val="008C1413"/>
    <w:rsid w:val="008C1582"/>
    <w:rsid w:val="008C182D"/>
    <w:rsid w:val="008C192A"/>
    <w:rsid w:val="008C1BF8"/>
    <w:rsid w:val="008C1DF0"/>
    <w:rsid w:val="008C1EE2"/>
    <w:rsid w:val="008C1F7C"/>
    <w:rsid w:val="008C1FE4"/>
    <w:rsid w:val="008C22AE"/>
    <w:rsid w:val="008C26DF"/>
    <w:rsid w:val="008C280A"/>
    <w:rsid w:val="008C288E"/>
    <w:rsid w:val="008C3037"/>
    <w:rsid w:val="008C30C7"/>
    <w:rsid w:val="008C32F7"/>
    <w:rsid w:val="008C3ECF"/>
    <w:rsid w:val="008C40D1"/>
    <w:rsid w:val="008C473D"/>
    <w:rsid w:val="008C47C1"/>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11E"/>
    <w:rsid w:val="008D1A2D"/>
    <w:rsid w:val="008D1A36"/>
    <w:rsid w:val="008D1A72"/>
    <w:rsid w:val="008D1D6A"/>
    <w:rsid w:val="008D2354"/>
    <w:rsid w:val="008D27DC"/>
    <w:rsid w:val="008D28BD"/>
    <w:rsid w:val="008D2EE6"/>
    <w:rsid w:val="008D2EFF"/>
    <w:rsid w:val="008D2F52"/>
    <w:rsid w:val="008D30BE"/>
    <w:rsid w:val="008D3269"/>
    <w:rsid w:val="008D3914"/>
    <w:rsid w:val="008D3D9C"/>
    <w:rsid w:val="008D402A"/>
    <w:rsid w:val="008D45DD"/>
    <w:rsid w:val="008D5323"/>
    <w:rsid w:val="008D55AC"/>
    <w:rsid w:val="008D5751"/>
    <w:rsid w:val="008D5810"/>
    <w:rsid w:val="008D5D0C"/>
    <w:rsid w:val="008D5F61"/>
    <w:rsid w:val="008D613E"/>
    <w:rsid w:val="008D6240"/>
    <w:rsid w:val="008D65C0"/>
    <w:rsid w:val="008D75AA"/>
    <w:rsid w:val="008D7EEA"/>
    <w:rsid w:val="008E0190"/>
    <w:rsid w:val="008E04A9"/>
    <w:rsid w:val="008E07C0"/>
    <w:rsid w:val="008E0B6C"/>
    <w:rsid w:val="008E0C87"/>
    <w:rsid w:val="008E0CC2"/>
    <w:rsid w:val="008E0FC5"/>
    <w:rsid w:val="008E2242"/>
    <w:rsid w:val="008E2980"/>
    <w:rsid w:val="008E2A77"/>
    <w:rsid w:val="008E2E7F"/>
    <w:rsid w:val="008E3609"/>
    <w:rsid w:val="008E3AE2"/>
    <w:rsid w:val="008E3BE1"/>
    <w:rsid w:val="008E406C"/>
    <w:rsid w:val="008E439E"/>
    <w:rsid w:val="008E4628"/>
    <w:rsid w:val="008E47C6"/>
    <w:rsid w:val="008E480D"/>
    <w:rsid w:val="008E48B5"/>
    <w:rsid w:val="008E4DBE"/>
    <w:rsid w:val="008E522E"/>
    <w:rsid w:val="008E5309"/>
    <w:rsid w:val="008E53E0"/>
    <w:rsid w:val="008E55DD"/>
    <w:rsid w:val="008E564A"/>
    <w:rsid w:val="008E60CC"/>
    <w:rsid w:val="008E621F"/>
    <w:rsid w:val="008E6387"/>
    <w:rsid w:val="008E6396"/>
    <w:rsid w:val="008E6D57"/>
    <w:rsid w:val="008E7161"/>
    <w:rsid w:val="008E7233"/>
    <w:rsid w:val="008E727A"/>
    <w:rsid w:val="008E72D9"/>
    <w:rsid w:val="008E7334"/>
    <w:rsid w:val="008E7410"/>
    <w:rsid w:val="008E7713"/>
    <w:rsid w:val="008E7902"/>
    <w:rsid w:val="008E7931"/>
    <w:rsid w:val="008E7BC8"/>
    <w:rsid w:val="008E7D53"/>
    <w:rsid w:val="008E7E26"/>
    <w:rsid w:val="008E7F96"/>
    <w:rsid w:val="008F028C"/>
    <w:rsid w:val="008F05BC"/>
    <w:rsid w:val="008F09F9"/>
    <w:rsid w:val="008F0C64"/>
    <w:rsid w:val="008F0D24"/>
    <w:rsid w:val="008F132F"/>
    <w:rsid w:val="008F183A"/>
    <w:rsid w:val="008F1F55"/>
    <w:rsid w:val="008F214D"/>
    <w:rsid w:val="008F22FD"/>
    <w:rsid w:val="008F2B5B"/>
    <w:rsid w:val="008F2ED4"/>
    <w:rsid w:val="008F304D"/>
    <w:rsid w:val="008F3472"/>
    <w:rsid w:val="008F39AA"/>
    <w:rsid w:val="008F3CE5"/>
    <w:rsid w:val="008F3D0D"/>
    <w:rsid w:val="008F3DFB"/>
    <w:rsid w:val="008F4285"/>
    <w:rsid w:val="008F4A6B"/>
    <w:rsid w:val="008F4AC6"/>
    <w:rsid w:val="008F4B79"/>
    <w:rsid w:val="008F4D1A"/>
    <w:rsid w:val="008F5067"/>
    <w:rsid w:val="008F511B"/>
    <w:rsid w:val="008F519C"/>
    <w:rsid w:val="008F52A6"/>
    <w:rsid w:val="008F5433"/>
    <w:rsid w:val="008F6146"/>
    <w:rsid w:val="008F66C9"/>
    <w:rsid w:val="008F6EE8"/>
    <w:rsid w:val="008F792A"/>
    <w:rsid w:val="008F793D"/>
    <w:rsid w:val="008F7C72"/>
    <w:rsid w:val="0090018E"/>
    <w:rsid w:val="009002C2"/>
    <w:rsid w:val="00900415"/>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29"/>
    <w:rsid w:val="00904D49"/>
    <w:rsid w:val="0090536D"/>
    <w:rsid w:val="00905653"/>
    <w:rsid w:val="00905AB9"/>
    <w:rsid w:val="0090624D"/>
    <w:rsid w:val="0090636E"/>
    <w:rsid w:val="00906817"/>
    <w:rsid w:val="00906A9A"/>
    <w:rsid w:val="00906B4C"/>
    <w:rsid w:val="00906C2F"/>
    <w:rsid w:val="00906ECE"/>
    <w:rsid w:val="009070E0"/>
    <w:rsid w:val="0090735F"/>
    <w:rsid w:val="00907487"/>
    <w:rsid w:val="00907513"/>
    <w:rsid w:val="00907662"/>
    <w:rsid w:val="00907734"/>
    <w:rsid w:val="009101D3"/>
    <w:rsid w:val="00910973"/>
    <w:rsid w:val="00910C85"/>
    <w:rsid w:val="00910E21"/>
    <w:rsid w:val="00911191"/>
    <w:rsid w:val="00911240"/>
    <w:rsid w:val="00911455"/>
    <w:rsid w:val="009115AB"/>
    <w:rsid w:val="00911622"/>
    <w:rsid w:val="00911D02"/>
    <w:rsid w:val="00911EFA"/>
    <w:rsid w:val="00911F61"/>
    <w:rsid w:val="00912081"/>
    <w:rsid w:val="00912646"/>
    <w:rsid w:val="00912779"/>
    <w:rsid w:val="009129C0"/>
    <w:rsid w:val="00913116"/>
    <w:rsid w:val="00913295"/>
    <w:rsid w:val="009134E1"/>
    <w:rsid w:val="00913688"/>
    <w:rsid w:val="009136DD"/>
    <w:rsid w:val="009137AC"/>
    <w:rsid w:val="00913C5F"/>
    <w:rsid w:val="00913E83"/>
    <w:rsid w:val="009141E4"/>
    <w:rsid w:val="00914689"/>
    <w:rsid w:val="0091477F"/>
    <w:rsid w:val="00914A3B"/>
    <w:rsid w:val="00914BF1"/>
    <w:rsid w:val="00915011"/>
    <w:rsid w:val="009150BD"/>
    <w:rsid w:val="0091537E"/>
    <w:rsid w:val="009154A1"/>
    <w:rsid w:val="0091557D"/>
    <w:rsid w:val="009158E9"/>
    <w:rsid w:val="009158F0"/>
    <w:rsid w:val="009160FE"/>
    <w:rsid w:val="009161D2"/>
    <w:rsid w:val="00916347"/>
    <w:rsid w:val="00916BD4"/>
    <w:rsid w:val="009170A4"/>
    <w:rsid w:val="009176C5"/>
    <w:rsid w:val="00917A49"/>
    <w:rsid w:val="00917C56"/>
    <w:rsid w:val="009200B6"/>
    <w:rsid w:val="009201E0"/>
    <w:rsid w:val="0092028B"/>
    <w:rsid w:val="0092040A"/>
    <w:rsid w:val="00920E12"/>
    <w:rsid w:val="00921128"/>
    <w:rsid w:val="009213AA"/>
    <w:rsid w:val="0092169A"/>
    <w:rsid w:val="009217A6"/>
    <w:rsid w:val="00921865"/>
    <w:rsid w:val="009219FF"/>
    <w:rsid w:val="00921BD1"/>
    <w:rsid w:val="00922022"/>
    <w:rsid w:val="00922040"/>
    <w:rsid w:val="0092260A"/>
    <w:rsid w:val="009226C2"/>
    <w:rsid w:val="00922794"/>
    <w:rsid w:val="00922830"/>
    <w:rsid w:val="00922AED"/>
    <w:rsid w:val="00922AF0"/>
    <w:rsid w:val="0092326F"/>
    <w:rsid w:val="00923437"/>
    <w:rsid w:val="00923838"/>
    <w:rsid w:val="00923A93"/>
    <w:rsid w:val="009244F6"/>
    <w:rsid w:val="0092457C"/>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9D8"/>
    <w:rsid w:val="009300A9"/>
    <w:rsid w:val="009300D4"/>
    <w:rsid w:val="0093022B"/>
    <w:rsid w:val="00930873"/>
    <w:rsid w:val="00930B68"/>
    <w:rsid w:val="00930B75"/>
    <w:rsid w:val="00930BC3"/>
    <w:rsid w:val="00931160"/>
    <w:rsid w:val="00931672"/>
    <w:rsid w:val="009317A3"/>
    <w:rsid w:val="00931A21"/>
    <w:rsid w:val="00931BD0"/>
    <w:rsid w:val="00931E4A"/>
    <w:rsid w:val="00931FA9"/>
    <w:rsid w:val="009321DB"/>
    <w:rsid w:val="00932601"/>
    <w:rsid w:val="009329E9"/>
    <w:rsid w:val="00932AC2"/>
    <w:rsid w:val="00933051"/>
    <w:rsid w:val="0093317A"/>
    <w:rsid w:val="0093326B"/>
    <w:rsid w:val="0093360C"/>
    <w:rsid w:val="0093361A"/>
    <w:rsid w:val="009338D4"/>
    <w:rsid w:val="00933901"/>
    <w:rsid w:val="00933BC7"/>
    <w:rsid w:val="00933D70"/>
    <w:rsid w:val="00933DFA"/>
    <w:rsid w:val="00933F3E"/>
    <w:rsid w:val="00934060"/>
    <w:rsid w:val="009347CF"/>
    <w:rsid w:val="009347E5"/>
    <w:rsid w:val="009348A8"/>
    <w:rsid w:val="00934928"/>
    <w:rsid w:val="0093495A"/>
    <w:rsid w:val="0093496F"/>
    <w:rsid w:val="00934E66"/>
    <w:rsid w:val="009357AC"/>
    <w:rsid w:val="00935D04"/>
    <w:rsid w:val="00935E29"/>
    <w:rsid w:val="00935EB4"/>
    <w:rsid w:val="00935F7F"/>
    <w:rsid w:val="0093656D"/>
    <w:rsid w:val="009366B6"/>
    <w:rsid w:val="00936838"/>
    <w:rsid w:val="00936B3C"/>
    <w:rsid w:val="00936DB9"/>
    <w:rsid w:val="00936EA9"/>
    <w:rsid w:val="0093764E"/>
    <w:rsid w:val="00937EC4"/>
    <w:rsid w:val="0094017A"/>
    <w:rsid w:val="0094056A"/>
    <w:rsid w:val="00940D42"/>
    <w:rsid w:val="00940F8E"/>
    <w:rsid w:val="009410F3"/>
    <w:rsid w:val="009415FE"/>
    <w:rsid w:val="0094171F"/>
    <w:rsid w:val="00941CC9"/>
    <w:rsid w:val="009421AA"/>
    <w:rsid w:val="009428A6"/>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5EE"/>
    <w:rsid w:val="0094663B"/>
    <w:rsid w:val="0094665B"/>
    <w:rsid w:val="009466BF"/>
    <w:rsid w:val="00946708"/>
    <w:rsid w:val="00946B86"/>
    <w:rsid w:val="009477F0"/>
    <w:rsid w:val="009478C2"/>
    <w:rsid w:val="009478DF"/>
    <w:rsid w:val="00947DAE"/>
    <w:rsid w:val="00947DC6"/>
    <w:rsid w:val="0095002B"/>
    <w:rsid w:val="00950C50"/>
    <w:rsid w:val="00950D1A"/>
    <w:rsid w:val="00950DF9"/>
    <w:rsid w:val="00951218"/>
    <w:rsid w:val="009512DC"/>
    <w:rsid w:val="00951C74"/>
    <w:rsid w:val="00951FFF"/>
    <w:rsid w:val="0095210A"/>
    <w:rsid w:val="009523A5"/>
    <w:rsid w:val="0095241E"/>
    <w:rsid w:val="00952721"/>
    <w:rsid w:val="0095276D"/>
    <w:rsid w:val="00952AC8"/>
    <w:rsid w:val="009530F1"/>
    <w:rsid w:val="009533D1"/>
    <w:rsid w:val="009536EA"/>
    <w:rsid w:val="00953898"/>
    <w:rsid w:val="00953CCE"/>
    <w:rsid w:val="009544AF"/>
    <w:rsid w:val="0095452B"/>
    <w:rsid w:val="00954BFE"/>
    <w:rsid w:val="00954E6C"/>
    <w:rsid w:val="009555B8"/>
    <w:rsid w:val="00955804"/>
    <w:rsid w:val="009559DE"/>
    <w:rsid w:val="00955C72"/>
    <w:rsid w:val="009567B2"/>
    <w:rsid w:val="0095680A"/>
    <w:rsid w:val="009568FC"/>
    <w:rsid w:val="0095692F"/>
    <w:rsid w:val="00956CED"/>
    <w:rsid w:val="00956D2A"/>
    <w:rsid w:val="00957219"/>
    <w:rsid w:val="009577EE"/>
    <w:rsid w:val="00957A27"/>
    <w:rsid w:val="00957AF5"/>
    <w:rsid w:val="00957C6F"/>
    <w:rsid w:val="00960087"/>
    <w:rsid w:val="0096084F"/>
    <w:rsid w:val="009608F1"/>
    <w:rsid w:val="00960997"/>
    <w:rsid w:val="00960DF3"/>
    <w:rsid w:val="00960E7E"/>
    <w:rsid w:val="00960EFB"/>
    <w:rsid w:val="009610EE"/>
    <w:rsid w:val="0096141F"/>
    <w:rsid w:val="00961483"/>
    <w:rsid w:val="009619D9"/>
    <w:rsid w:val="00961D6F"/>
    <w:rsid w:val="00962218"/>
    <w:rsid w:val="0096225B"/>
    <w:rsid w:val="009623B1"/>
    <w:rsid w:val="00962D58"/>
    <w:rsid w:val="00962D6A"/>
    <w:rsid w:val="00962E6B"/>
    <w:rsid w:val="00962FBC"/>
    <w:rsid w:val="00963180"/>
    <w:rsid w:val="0096356B"/>
    <w:rsid w:val="009635AC"/>
    <w:rsid w:val="0096362E"/>
    <w:rsid w:val="0096367B"/>
    <w:rsid w:val="009636C9"/>
    <w:rsid w:val="00963753"/>
    <w:rsid w:val="0096378D"/>
    <w:rsid w:val="00963C31"/>
    <w:rsid w:val="00964509"/>
    <w:rsid w:val="0096459B"/>
    <w:rsid w:val="009645E9"/>
    <w:rsid w:val="009645F3"/>
    <w:rsid w:val="009648E1"/>
    <w:rsid w:val="00964C3B"/>
    <w:rsid w:val="00964EAC"/>
    <w:rsid w:val="00964F7B"/>
    <w:rsid w:val="009650A4"/>
    <w:rsid w:val="009655B1"/>
    <w:rsid w:val="00965B44"/>
    <w:rsid w:val="00965F6F"/>
    <w:rsid w:val="009660A3"/>
    <w:rsid w:val="00966112"/>
    <w:rsid w:val="00966226"/>
    <w:rsid w:val="009664C8"/>
    <w:rsid w:val="009665BA"/>
    <w:rsid w:val="0096677D"/>
    <w:rsid w:val="00966F43"/>
    <w:rsid w:val="00967345"/>
    <w:rsid w:val="00967451"/>
    <w:rsid w:val="009675BE"/>
    <w:rsid w:val="00967815"/>
    <w:rsid w:val="009678BB"/>
    <w:rsid w:val="00967951"/>
    <w:rsid w:val="00967A47"/>
    <w:rsid w:val="00967D66"/>
    <w:rsid w:val="00967D6E"/>
    <w:rsid w:val="00967F6D"/>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3EAD"/>
    <w:rsid w:val="00973F83"/>
    <w:rsid w:val="009740F5"/>
    <w:rsid w:val="00974188"/>
    <w:rsid w:val="009745D3"/>
    <w:rsid w:val="009749DA"/>
    <w:rsid w:val="00974D58"/>
    <w:rsid w:val="00974D65"/>
    <w:rsid w:val="00974EF1"/>
    <w:rsid w:val="00974FCB"/>
    <w:rsid w:val="00974FE1"/>
    <w:rsid w:val="009750AC"/>
    <w:rsid w:val="009756A1"/>
    <w:rsid w:val="009758B2"/>
    <w:rsid w:val="009758E6"/>
    <w:rsid w:val="00975946"/>
    <w:rsid w:val="00975BCF"/>
    <w:rsid w:val="00975C81"/>
    <w:rsid w:val="00975D9B"/>
    <w:rsid w:val="00976049"/>
    <w:rsid w:val="009763B1"/>
    <w:rsid w:val="00976404"/>
    <w:rsid w:val="009764B6"/>
    <w:rsid w:val="009766BC"/>
    <w:rsid w:val="00977257"/>
    <w:rsid w:val="00977346"/>
    <w:rsid w:val="0097746F"/>
    <w:rsid w:val="00977680"/>
    <w:rsid w:val="00977F07"/>
    <w:rsid w:val="00977F16"/>
    <w:rsid w:val="00980090"/>
    <w:rsid w:val="00980A21"/>
    <w:rsid w:val="00980B92"/>
    <w:rsid w:val="00981469"/>
    <w:rsid w:val="0098163A"/>
    <w:rsid w:val="0098177D"/>
    <w:rsid w:val="009818DE"/>
    <w:rsid w:val="00981922"/>
    <w:rsid w:val="00981BE2"/>
    <w:rsid w:val="00981D98"/>
    <w:rsid w:val="009823D2"/>
    <w:rsid w:val="00982457"/>
    <w:rsid w:val="00982524"/>
    <w:rsid w:val="0098261F"/>
    <w:rsid w:val="00982784"/>
    <w:rsid w:val="009828F9"/>
    <w:rsid w:val="00983238"/>
    <w:rsid w:val="009835AE"/>
    <w:rsid w:val="00983958"/>
    <w:rsid w:val="00983BFE"/>
    <w:rsid w:val="00983F4A"/>
    <w:rsid w:val="009840D0"/>
    <w:rsid w:val="0098437E"/>
    <w:rsid w:val="009843EC"/>
    <w:rsid w:val="00984667"/>
    <w:rsid w:val="009853AC"/>
    <w:rsid w:val="00985670"/>
    <w:rsid w:val="0098616D"/>
    <w:rsid w:val="0098640D"/>
    <w:rsid w:val="00986546"/>
    <w:rsid w:val="009867F9"/>
    <w:rsid w:val="00986FBC"/>
    <w:rsid w:val="00987666"/>
    <w:rsid w:val="00987676"/>
    <w:rsid w:val="009876E4"/>
    <w:rsid w:val="00987840"/>
    <w:rsid w:val="00987C57"/>
    <w:rsid w:val="00987D4D"/>
    <w:rsid w:val="0099009B"/>
    <w:rsid w:val="009900DC"/>
    <w:rsid w:val="009902F8"/>
    <w:rsid w:val="009904C0"/>
    <w:rsid w:val="00990610"/>
    <w:rsid w:val="0099061F"/>
    <w:rsid w:val="00990624"/>
    <w:rsid w:val="00990716"/>
    <w:rsid w:val="0099080C"/>
    <w:rsid w:val="00990A8F"/>
    <w:rsid w:val="00990B7A"/>
    <w:rsid w:val="00990CC8"/>
    <w:rsid w:val="0099108D"/>
    <w:rsid w:val="00991234"/>
    <w:rsid w:val="00991349"/>
    <w:rsid w:val="0099165F"/>
    <w:rsid w:val="00991CB2"/>
    <w:rsid w:val="00991E9C"/>
    <w:rsid w:val="00991FE9"/>
    <w:rsid w:val="009926E7"/>
    <w:rsid w:val="009928ED"/>
    <w:rsid w:val="009929E1"/>
    <w:rsid w:val="00992CE7"/>
    <w:rsid w:val="00993036"/>
    <w:rsid w:val="00993951"/>
    <w:rsid w:val="00993BF5"/>
    <w:rsid w:val="009940AA"/>
    <w:rsid w:val="00994236"/>
    <w:rsid w:val="0099524A"/>
    <w:rsid w:val="0099548C"/>
    <w:rsid w:val="009956AF"/>
    <w:rsid w:val="009958E9"/>
    <w:rsid w:val="00995A70"/>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B8"/>
    <w:rsid w:val="009A14D9"/>
    <w:rsid w:val="009A175A"/>
    <w:rsid w:val="009A1B64"/>
    <w:rsid w:val="009A208D"/>
    <w:rsid w:val="009A2265"/>
    <w:rsid w:val="009A2330"/>
    <w:rsid w:val="009A23B3"/>
    <w:rsid w:val="009A2699"/>
    <w:rsid w:val="009A2965"/>
    <w:rsid w:val="009A2AC0"/>
    <w:rsid w:val="009A2AEF"/>
    <w:rsid w:val="009A3182"/>
    <w:rsid w:val="009A3285"/>
    <w:rsid w:val="009A3334"/>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1DB"/>
    <w:rsid w:val="009A5732"/>
    <w:rsid w:val="009A5DAD"/>
    <w:rsid w:val="009A5E4A"/>
    <w:rsid w:val="009A5F09"/>
    <w:rsid w:val="009A605C"/>
    <w:rsid w:val="009A608A"/>
    <w:rsid w:val="009A633E"/>
    <w:rsid w:val="009A63B4"/>
    <w:rsid w:val="009A6462"/>
    <w:rsid w:val="009A6677"/>
    <w:rsid w:val="009A6796"/>
    <w:rsid w:val="009A67E5"/>
    <w:rsid w:val="009A6EC1"/>
    <w:rsid w:val="009A733E"/>
    <w:rsid w:val="009A7DA2"/>
    <w:rsid w:val="009A7E75"/>
    <w:rsid w:val="009B00A3"/>
    <w:rsid w:val="009B01D0"/>
    <w:rsid w:val="009B0571"/>
    <w:rsid w:val="009B05E1"/>
    <w:rsid w:val="009B0952"/>
    <w:rsid w:val="009B0ABC"/>
    <w:rsid w:val="009B0BF2"/>
    <w:rsid w:val="009B127C"/>
    <w:rsid w:val="009B147D"/>
    <w:rsid w:val="009B161E"/>
    <w:rsid w:val="009B1D1B"/>
    <w:rsid w:val="009B1F55"/>
    <w:rsid w:val="009B2058"/>
    <w:rsid w:val="009B21FF"/>
    <w:rsid w:val="009B23D9"/>
    <w:rsid w:val="009B2795"/>
    <w:rsid w:val="009B2CB4"/>
    <w:rsid w:val="009B3A2C"/>
    <w:rsid w:val="009B3B4D"/>
    <w:rsid w:val="009B4789"/>
    <w:rsid w:val="009B4A1B"/>
    <w:rsid w:val="009B4CD7"/>
    <w:rsid w:val="009B4F0E"/>
    <w:rsid w:val="009B503D"/>
    <w:rsid w:val="009B5129"/>
    <w:rsid w:val="009B51FC"/>
    <w:rsid w:val="009B53C4"/>
    <w:rsid w:val="009B586E"/>
    <w:rsid w:val="009B596D"/>
    <w:rsid w:val="009B59C0"/>
    <w:rsid w:val="009B5AAD"/>
    <w:rsid w:val="009B5AB0"/>
    <w:rsid w:val="009B5ACF"/>
    <w:rsid w:val="009B5AFD"/>
    <w:rsid w:val="009B5C6B"/>
    <w:rsid w:val="009B63E9"/>
    <w:rsid w:val="009B663A"/>
    <w:rsid w:val="009B68D9"/>
    <w:rsid w:val="009B6AA7"/>
    <w:rsid w:val="009B7284"/>
    <w:rsid w:val="009B7580"/>
    <w:rsid w:val="009B75FA"/>
    <w:rsid w:val="009B79C0"/>
    <w:rsid w:val="009B7CE6"/>
    <w:rsid w:val="009B7DAF"/>
    <w:rsid w:val="009B7F89"/>
    <w:rsid w:val="009C0056"/>
    <w:rsid w:val="009C0372"/>
    <w:rsid w:val="009C0720"/>
    <w:rsid w:val="009C07FB"/>
    <w:rsid w:val="009C0BEE"/>
    <w:rsid w:val="009C0DB0"/>
    <w:rsid w:val="009C10BA"/>
    <w:rsid w:val="009C10F5"/>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0D"/>
    <w:rsid w:val="009C3C5B"/>
    <w:rsid w:val="009C4047"/>
    <w:rsid w:val="009C44C7"/>
    <w:rsid w:val="009C4901"/>
    <w:rsid w:val="009C4A9F"/>
    <w:rsid w:val="009C4C25"/>
    <w:rsid w:val="009C4E33"/>
    <w:rsid w:val="009C521B"/>
    <w:rsid w:val="009C5780"/>
    <w:rsid w:val="009C5872"/>
    <w:rsid w:val="009C5D56"/>
    <w:rsid w:val="009C5F31"/>
    <w:rsid w:val="009C5FC0"/>
    <w:rsid w:val="009C641F"/>
    <w:rsid w:val="009C646D"/>
    <w:rsid w:val="009C66C8"/>
    <w:rsid w:val="009C672B"/>
    <w:rsid w:val="009C675D"/>
    <w:rsid w:val="009C6D3F"/>
    <w:rsid w:val="009C76FA"/>
    <w:rsid w:val="009C7737"/>
    <w:rsid w:val="009C7893"/>
    <w:rsid w:val="009C7E11"/>
    <w:rsid w:val="009D0A9D"/>
    <w:rsid w:val="009D0B41"/>
    <w:rsid w:val="009D0D12"/>
    <w:rsid w:val="009D0E15"/>
    <w:rsid w:val="009D0F82"/>
    <w:rsid w:val="009D13C2"/>
    <w:rsid w:val="009D1933"/>
    <w:rsid w:val="009D1D53"/>
    <w:rsid w:val="009D1FF2"/>
    <w:rsid w:val="009D2325"/>
    <w:rsid w:val="009D253D"/>
    <w:rsid w:val="009D2D40"/>
    <w:rsid w:val="009D2DC5"/>
    <w:rsid w:val="009D3040"/>
    <w:rsid w:val="009D307B"/>
    <w:rsid w:val="009D3574"/>
    <w:rsid w:val="009D3A0F"/>
    <w:rsid w:val="009D4002"/>
    <w:rsid w:val="009D4190"/>
    <w:rsid w:val="009D4746"/>
    <w:rsid w:val="009D4980"/>
    <w:rsid w:val="009D4A32"/>
    <w:rsid w:val="009D4C8F"/>
    <w:rsid w:val="009D4D1D"/>
    <w:rsid w:val="009D4F6C"/>
    <w:rsid w:val="009D5028"/>
    <w:rsid w:val="009D5488"/>
    <w:rsid w:val="009D559F"/>
    <w:rsid w:val="009D5A1F"/>
    <w:rsid w:val="009D5ADE"/>
    <w:rsid w:val="009D5DE3"/>
    <w:rsid w:val="009D5E7E"/>
    <w:rsid w:val="009D622B"/>
    <w:rsid w:val="009D6711"/>
    <w:rsid w:val="009D687E"/>
    <w:rsid w:val="009D68F5"/>
    <w:rsid w:val="009D6997"/>
    <w:rsid w:val="009D6E00"/>
    <w:rsid w:val="009D6E6F"/>
    <w:rsid w:val="009D71C0"/>
    <w:rsid w:val="009D7CB4"/>
    <w:rsid w:val="009D7CC6"/>
    <w:rsid w:val="009E021F"/>
    <w:rsid w:val="009E030C"/>
    <w:rsid w:val="009E09F1"/>
    <w:rsid w:val="009E0B20"/>
    <w:rsid w:val="009E0CCC"/>
    <w:rsid w:val="009E1295"/>
    <w:rsid w:val="009E1800"/>
    <w:rsid w:val="009E1908"/>
    <w:rsid w:val="009E19CE"/>
    <w:rsid w:val="009E1C7D"/>
    <w:rsid w:val="009E1CB8"/>
    <w:rsid w:val="009E1CD2"/>
    <w:rsid w:val="009E1D96"/>
    <w:rsid w:val="009E312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00"/>
    <w:rsid w:val="009E70CE"/>
    <w:rsid w:val="009E747C"/>
    <w:rsid w:val="009E7748"/>
    <w:rsid w:val="009E78F8"/>
    <w:rsid w:val="009E7D5E"/>
    <w:rsid w:val="009F005F"/>
    <w:rsid w:val="009F0132"/>
    <w:rsid w:val="009F01E9"/>
    <w:rsid w:val="009F0310"/>
    <w:rsid w:val="009F04CC"/>
    <w:rsid w:val="009F09D1"/>
    <w:rsid w:val="009F0A6C"/>
    <w:rsid w:val="009F0AD3"/>
    <w:rsid w:val="009F0B6F"/>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521"/>
    <w:rsid w:val="009F7867"/>
    <w:rsid w:val="009F794D"/>
    <w:rsid w:val="009F796C"/>
    <w:rsid w:val="009F796E"/>
    <w:rsid w:val="00A00024"/>
    <w:rsid w:val="00A000A0"/>
    <w:rsid w:val="00A004EE"/>
    <w:rsid w:val="00A0095B"/>
    <w:rsid w:val="00A00B55"/>
    <w:rsid w:val="00A01520"/>
    <w:rsid w:val="00A015B5"/>
    <w:rsid w:val="00A01666"/>
    <w:rsid w:val="00A01895"/>
    <w:rsid w:val="00A01AE7"/>
    <w:rsid w:val="00A021CF"/>
    <w:rsid w:val="00A022F7"/>
    <w:rsid w:val="00A02862"/>
    <w:rsid w:val="00A02CBD"/>
    <w:rsid w:val="00A02FA1"/>
    <w:rsid w:val="00A03C02"/>
    <w:rsid w:val="00A03D98"/>
    <w:rsid w:val="00A03DA3"/>
    <w:rsid w:val="00A03F1F"/>
    <w:rsid w:val="00A044C5"/>
    <w:rsid w:val="00A045FA"/>
    <w:rsid w:val="00A04E55"/>
    <w:rsid w:val="00A04EDE"/>
    <w:rsid w:val="00A050E1"/>
    <w:rsid w:val="00A058E6"/>
    <w:rsid w:val="00A05983"/>
    <w:rsid w:val="00A059DB"/>
    <w:rsid w:val="00A05BD0"/>
    <w:rsid w:val="00A05EC1"/>
    <w:rsid w:val="00A05F51"/>
    <w:rsid w:val="00A060E0"/>
    <w:rsid w:val="00A0617C"/>
    <w:rsid w:val="00A06442"/>
    <w:rsid w:val="00A06841"/>
    <w:rsid w:val="00A06880"/>
    <w:rsid w:val="00A06CB2"/>
    <w:rsid w:val="00A0723E"/>
    <w:rsid w:val="00A07645"/>
    <w:rsid w:val="00A077B1"/>
    <w:rsid w:val="00A07840"/>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24D"/>
    <w:rsid w:val="00A14AB5"/>
    <w:rsid w:val="00A14C27"/>
    <w:rsid w:val="00A14CC9"/>
    <w:rsid w:val="00A14F58"/>
    <w:rsid w:val="00A15146"/>
    <w:rsid w:val="00A155F9"/>
    <w:rsid w:val="00A1561F"/>
    <w:rsid w:val="00A15974"/>
    <w:rsid w:val="00A15C15"/>
    <w:rsid w:val="00A15D67"/>
    <w:rsid w:val="00A15DF7"/>
    <w:rsid w:val="00A15E35"/>
    <w:rsid w:val="00A1627A"/>
    <w:rsid w:val="00A16476"/>
    <w:rsid w:val="00A16A71"/>
    <w:rsid w:val="00A16AA7"/>
    <w:rsid w:val="00A16CD9"/>
    <w:rsid w:val="00A16D0A"/>
    <w:rsid w:val="00A16E8D"/>
    <w:rsid w:val="00A173B3"/>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778"/>
    <w:rsid w:val="00A23901"/>
    <w:rsid w:val="00A2434D"/>
    <w:rsid w:val="00A24C24"/>
    <w:rsid w:val="00A24E18"/>
    <w:rsid w:val="00A252C9"/>
    <w:rsid w:val="00A2534A"/>
    <w:rsid w:val="00A2568D"/>
    <w:rsid w:val="00A25801"/>
    <w:rsid w:val="00A25A6F"/>
    <w:rsid w:val="00A25E5E"/>
    <w:rsid w:val="00A2600F"/>
    <w:rsid w:val="00A2614E"/>
    <w:rsid w:val="00A263FA"/>
    <w:rsid w:val="00A266C8"/>
    <w:rsid w:val="00A2674D"/>
    <w:rsid w:val="00A26A03"/>
    <w:rsid w:val="00A26F82"/>
    <w:rsid w:val="00A26FAE"/>
    <w:rsid w:val="00A27137"/>
    <w:rsid w:val="00A27241"/>
    <w:rsid w:val="00A2724D"/>
    <w:rsid w:val="00A27A1B"/>
    <w:rsid w:val="00A27E3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6BF1"/>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2A1B"/>
    <w:rsid w:val="00A43072"/>
    <w:rsid w:val="00A432CC"/>
    <w:rsid w:val="00A43335"/>
    <w:rsid w:val="00A434F5"/>
    <w:rsid w:val="00A438A8"/>
    <w:rsid w:val="00A4393C"/>
    <w:rsid w:val="00A43B02"/>
    <w:rsid w:val="00A43E8A"/>
    <w:rsid w:val="00A4480E"/>
    <w:rsid w:val="00A44A8C"/>
    <w:rsid w:val="00A44B5A"/>
    <w:rsid w:val="00A44FB5"/>
    <w:rsid w:val="00A4562F"/>
    <w:rsid w:val="00A4579D"/>
    <w:rsid w:val="00A45828"/>
    <w:rsid w:val="00A45A9D"/>
    <w:rsid w:val="00A45AB6"/>
    <w:rsid w:val="00A45AC1"/>
    <w:rsid w:val="00A45C54"/>
    <w:rsid w:val="00A45D8C"/>
    <w:rsid w:val="00A463F3"/>
    <w:rsid w:val="00A4652A"/>
    <w:rsid w:val="00A46582"/>
    <w:rsid w:val="00A46802"/>
    <w:rsid w:val="00A4691B"/>
    <w:rsid w:val="00A46A3D"/>
    <w:rsid w:val="00A46AE5"/>
    <w:rsid w:val="00A46CBB"/>
    <w:rsid w:val="00A47639"/>
    <w:rsid w:val="00A477DD"/>
    <w:rsid w:val="00A47C2D"/>
    <w:rsid w:val="00A47D79"/>
    <w:rsid w:val="00A47FEC"/>
    <w:rsid w:val="00A5025A"/>
    <w:rsid w:val="00A50710"/>
    <w:rsid w:val="00A50A46"/>
    <w:rsid w:val="00A50A8B"/>
    <w:rsid w:val="00A50C73"/>
    <w:rsid w:val="00A50D82"/>
    <w:rsid w:val="00A5116F"/>
    <w:rsid w:val="00A515A8"/>
    <w:rsid w:val="00A51837"/>
    <w:rsid w:val="00A5195E"/>
    <w:rsid w:val="00A51AD3"/>
    <w:rsid w:val="00A51AE7"/>
    <w:rsid w:val="00A51DBE"/>
    <w:rsid w:val="00A51DFA"/>
    <w:rsid w:val="00A51F19"/>
    <w:rsid w:val="00A523DC"/>
    <w:rsid w:val="00A524D6"/>
    <w:rsid w:val="00A52A8E"/>
    <w:rsid w:val="00A52D21"/>
    <w:rsid w:val="00A5307C"/>
    <w:rsid w:val="00A531AF"/>
    <w:rsid w:val="00A53295"/>
    <w:rsid w:val="00A5342B"/>
    <w:rsid w:val="00A53875"/>
    <w:rsid w:val="00A53BAA"/>
    <w:rsid w:val="00A53D81"/>
    <w:rsid w:val="00A53F03"/>
    <w:rsid w:val="00A5467A"/>
    <w:rsid w:val="00A54A00"/>
    <w:rsid w:val="00A54B32"/>
    <w:rsid w:val="00A551BE"/>
    <w:rsid w:val="00A551E2"/>
    <w:rsid w:val="00A553B8"/>
    <w:rsid w:val="00A556E5"/>
    <w:rsid w:val="00A55AE7"/>
    <w:rsid w:val="00A55C76"/>
    <w:rsid w:val="00A55E2B"/>
    <w:rsid w:val="00A55E42"/>
    <w:rsid w:val="00A55F28"/>
    <w:rsid w:val="00A561A8"/>
    <w:rsid w:val="00A56371"/>
    <w:rsid w:val="00A565FA"/>
    <w:rsid w:val="00A567B5"/>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7D"/>
    <w:rsid w:val="00A622BE"/>
    <w:rsid w:val="00A622F6"/>
    <w:rsid w:val="00A6246A"/>
    <w:rsid w:val="00A62662"/>
    <w:rsid w:val="00A62888"/>
    <w:rsid w:val="00A62948"/>
    <w:rsid w:val="00A62A6D"/>
    <w:rsid w:val="00A62C98"/>
    <w:rsid w:val="00A63150"/>
    <w:rsid w:val="00A63612"/>
    <w:rsid w:val="00A63B64"/>
    <w:rsid w:val="00A63BDE"/>
    <w:rsid w:val="00A63DC3"/>
    <w:rsid w:val="00A63EDE"/>
    <w:rsid w:val="00A6480F"/>
    <w:rsid w:val="00A64830"/>
    <w:rsid w:val="00A64AE3"/>
    <w:rsid w:val="00A65435"/>
    <w:rsid w:val="00A65459"/>
    <w:rsid w:val="00A6548F"/>
    <w:rsid w:val="00A65759"/>
    <w:rsid w:val="00A657C6"/>
    <w:rsid w:val="00A658A6"/>
    <w:rsid w:val="00A658C6"/>
    <w:rsid w:val="00A659F7"/>
    <w:rsid w:val="00A65BA3"/>
    <w:rsid w:val="00A65BC6"/>
    <w:rsid w:val="00A662BB"/>
    <w:rsid w:val="00A66525"/>
    <w:rsid w:val="00A66781"/>
    <w:rsid w:val="00A6686A"/>
    <w:rsid w:val="00A6737E"/>
    <w:rsid w:val="00A67699"/>
    <w:rsid w:val="00A6793A"/>
    <w:rsid w:val="00A6795A"/>
    <w:rsid w:val="00A67A92"/>
    <w:rsid w:val="00A67F2B"/>
    <w:rsid w:val="00A70027"/>
    <w:rsid w:val="00A7012C"/>
    <w:rsid w:val="00A70457"/>
    <w:rsid w:val="00A704C4"/>
    <w:rsid w:val="00A7098A"/>
    <w:rsid w:val="00A70D38"/>
    <w:rsid w:val="00A70F33"/>
    <w:rsid w:val="00A7117A"/>
    <w:rsid w:val="00A71219"/>
    <w:rsid w:val="00A7121F"/>
    <w:rsid w:val="00A712D3"/>
    <w:rsid w:val="00A7142B"/>
    <w:rsid w:val="00A715DB"/>
    <w:rsid w:val="00A718F3"/>
    <w:rsid w:val="00A72481"/>
    <w:rsid w:val="00A72545"/>
    <w:rsid w:val="00A72873"/>
    <w:rsid w:val="00A729F1"/>
    <w:rsid w:val="00A72C50"/>
    <w:rsid w:val="00A72CF5"/>
    <w:rsid w:val="00A72E98"/>
    <w:rsid w:val="00A72EC9"/>
    <w:rsid w:val="00A72ECB"/>
    <w:rsid w:val="00A7393D"/>
    <w:rsid w:val="00A73C9F"/>
    <w:rsid w:val="00A73ED3"/>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F04"/>
    <w:rsid w:val="00A802A3"/>
    <w:rsid w:val="00A8046F"/>
    <w:rsid w:val="00A805A2"/>
    <w:rsid w:val="00A80C4F"/>
    <w:rsid w:val="00A810E9"/>
    <w:rsid w:val="00A81278"/>
    <w:rsid w:val="00A8150C"/>
    <w:rsid w:val="00A81756"/>
    <w:rsid w:val="00A8191F"/>
    <w:rsid w:val="00A8201C"/>
    <w:rsid w:val="00A822A7"/>
    <w:rsid w:val="00A822CC"/>
    <w:rsid w:val="00A82300"/>
    <w:rsid w:val="00A82488"/>
    <w:rsid w:val="00A82CC5"/>
    <w:rsid w:val="00A82F3A"/>
    <w:rsid w:val="00A8302C"/>
    <w:rsid w:val="00A8326C"/>
    <w:rsid w:val="00A83319"/>
    <w:rsid w:val="00A833D8"/>
    <w:rsid w:val="00A83626"/>
    <w:rsid w:val="00A83927"/>
    <w:rsid w:val="00A83B8C"/>
    <w:rsid w:val="00A83ED2"/>
    <w:rsid w:val="00A840BA"/>
    <w:rsid w:val="00A84A2B"/>
    <w:rsid w:val="00A850FD"/>
    <w:rsid w:val="00A851A5"/>
    <w:rsid w:val="00A856FA"/>
    <w:rsid w:val="00A859A7"/>
    <w:rsid w:val="00A86534"/>
    <w:rsid w:val="00A873C8"/>
    <w:rsid w:val="00A87739"/>
    <w:rsid w:val="00A877B3"/>
    <w:rsid w:val="00A87849"/>
    <w:rsid w:val="00A87981"/>
    <w:rsid w:val="00A87C5A"/>
    <w:rsid w:val="00A87D2F"/>
    <w:rsid w:val="00A87E00"/>
    <w:rsid w:val="00A87F33"/>
    <w:rsid w:val="00A90041"/>
    <w:rsid w:val="00A9014D"/>
    <w:rsid w:val="00A903D7"/>
    <w:rsid w:val="00A90646"/>
    <w:rsid w:val="00A9076A"/>
    <w:rsid w:val="00A907A5"/>
    <w:rsid w:val="00A907EC"/>
    <w:rsid w:val="00A90B0F"/>
    <w:rsid w:val="00A90D4D"/>
    <w:rsid w:val="00A9148F"/>
    <w:rsid w:val="00A91877"/>
    <w:rsid w:val="00A91AD5"/>
    <w:rsid w:val="00A91B5B"/>
    <w:rsid w:val="00A91DFB"/>
    <w:rsid w:val="00A92186"/>
    <w:rsid w:val="00A921FA"/>
    <w:rsid w:val="00A9225D"/>
    <w:rsid w:val="00A9232D"/>
    <w:rsid w:val="00A925C2"/>
    <w:rsid w:val="00A93110"/>
    <w:rsid w:val="00A9341B"/>
    <w:rsid w:val="00A93760"/>
    <w:rsid w:val="00A937BC"/>
    <w:rsid w:val="00A9389F"/>
    <w:rsid w:val="00A93B87"/>
    <w:rsid w:val="00A93D84"/>
    <w:rsid w:val="00A93D86"/>
    <w:rsid w:val="00A93D9C"/>
    <w:rsid w:val="00A93ED5"/>
    <w:rsid w:val="00A94117"/>
    <w:rsid w:val="00A9429A"/>
    <w:rsid w:val="00A9486D"/>
    <w:rsid w:val="00A94B7F"/>
    <w:rsid w:val="00A954C3"/>
    <w:rsid w:val="00A95A24"/>
    <w:rsid w:val="00A96119"/>
    <w:rsid w:val="00A96310"/>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706"/>
    <w:rsid w:val="00AA2A0A"/>
    <w:rsid w:val="00AA2CAC"/>
    <w:rsid w:val="00AA2CD6"/>
    <w:rsid w:val="00AA2D4B"/>
    <w:rsid w:val="00AA2F8F"/>
    <w:rsid w:val="00AA340A"/>
    <w:rsid w:val="00AA36B8"/>
    <w:rsid w:val="00AA37A3"/>
    <w:rsid w:val="00AA3BAC"/>
    <w:rsid w:val="00AA3DE5"/>
    <w:rsid w:val="00AA3EEB"/>
    <w:rsid w:val="00AA485B"/>
    <w:rsid w:val="00AA4927"/>
    <w:rsid w:val="00AA49A0"/>
    <w:rsid w:val="00AA4FAE"/>
    <w:rsid w:val="00AA4FC3"/>
    <w:rsid w:val="00AA50F7"/>
    <w:rsid w:val="00AA522A"/>
    <w:rsid w:val="00AA54F4"/>
    <w:rsid w:val="00AA568F"/>
    <w:rsid w:val="00AA58F5"/>
    <w:rsid w:val="00AA5D5A"/>
    <w:rsid w:val="00AA5D82"/>
    <w:rsid w:val="00AA5EE1"/>
    <w:rsid w:val="00AA6238"/>
    <w:rsid w:val="00AA62F5"/>
    <w:rsid w:val="00AA68C6"/>
    <w:rsid w:val="00AA69C3"/>
    <w:rsid w:val="00AA6B6D"/>
    <w:rsid w:val="00AA6CB0"/>
    <w:rsid w:val="00AA6F6B"/>
    <w:rsid w:val="00AA716C"/>
    <w:rsid w:val="00AA7189"/>
    <w:rsid w:val="00AA7214"/>
    <w:rsid w:val="00AA7C36"/>
    <w:rsid w:val="00AA7C95"/>
    <w:rsid w:val="00AA7CF1"/>
    <w:rsid w:val="00AA7F2A"/>
    <w:rsid w:val="00AB0BA1"/>
    <w:rsid w:val="00AB0FC3"/>
    <w:rsid w:val="00AB1219"/>
    <w:rsid w:val="00AB1531"/>
    <w:rsid w:val="00AB1C3E"/>
    <w:rsid w:val="00AB202E"/>
    <w:rsid w:val="00AB2340"/>
    <w:rsid w:val="00AB2B89"/>
    <w:rsid w:val="00AB2E3F"/>
    <w:rsid w:val="00AB30E5"/>
    <w:rsid w:val="00AB30F8"/>
    <w:rsid w:val="00AB3261"/>
    <w:rsid w:val="00AB3598"/>
    <w:rsid w:val="00AB3735"/>
    <w:rsid w:val="00AB3944"/>
    <w:rsid w:val="00AB3CE9"/>
    <w:rsid w:val="00AB448A"/>
    <w:rsid w:val="00AB47DF"/>
    <w:rsid w:val="00AB4E2B"/>
    <w:rsid w:val="00AB4E93"/>
    <w:rsid w:val="00AB4FA4"/>
    <w:rsid w:val="00AB5084"/>
    <w:rsid w:val="00AB50F0"/>
    <w:rsid w:val="00AB5B11"/>
    <w:rsid w:val="00AB6073"/>
    <w:rsid w:val="00AB6298"/>
    <w:rsid w:val="00AB642E"/>
    <w:rsid w:val="00AB65C3"/>
    <w:rsid w:val="00AB67D8"/>
    <w:rsid w:val="00AB6C98"/>
    <w:rsid w:val="00AB6CA7"/>
    <w:rsid w:val="00AB6FC9"/>
    <w:rsid w:val="00AB71EC"/>
    <w:rsid w:val="00AB7731"/>
    <w:rsid w:val="00AB7B98"/>
    <w:rsid w:val="00AB7BD9"/>
    <w:rsid w:val="00AC0262"/>
    <w:rsid w:val="00AC0369"/>
    <w:rsid w:val="00AC0392"/>
    <w:rsid w:val="00AC12E4"/>
    <w:rsid w:val="00AC13B9"/>
    <w:rsid w:val="00AC15F3"/>
    <w:rsid w:val="00AC172A"/>
    <w:rsid w:val="00AC1741"/>
    <w:rsid w:val="00AC1D3B"/>
    <w:rsid w:val="00AC1F54"/>
    <w:rsid w:val="00AC1FF3"/>
    <w:rsid w:val="00AC2140"/>
    <w:rsid w:val="00AC28A9"/>
    <w:rsid w:val="00AC2DCD"/>
    <w:rsid w:val="00AC39AF"/>
    <w:rsid w:val="00AC3A5D"/>
    <w:rsid w:val="00AC3CBA"/>
    <w:rsid w:val="00AC4153"/>
    <w:rsid w:val="00AC4491"/>
    <w:rsid w:val="00AC4A11"/>
    <w:rsid w:val="00AC4B2E"/>
    <w:rsid w:val="00AC4D56"/>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587"/>
    <w:rsid w:val="00AC787B"/>
    <w:rsid w:val="00AC7C7B"/>
    <w:rsid w:val="00AC7D0C"/>
    <w:rsid w:val="00AC7ECE"/>
    <w:rsid w:val="00AD04A4"/>
    <w:rsid w:val="00AD0BF4"/>
    <w:rsid w:val="00AD0F0B"/>
    <w:rsid w:val="00AD1783"/>
    <w:rsid w:val="00AD1844"/>
    <w:rsid w:val="00AD195C"/>
    <w:rsid w:val="00AD199C"/>
    <w:rsid w:val="00AD1AD1"/>
    <w:rsid w:val="00AD1C47"/>
    <w:rsid w:val="00AD1C8C"/>
    <w:rsid w:val="00AD2115"/>
    <w:rsid w:val="00AD213F"/>
    <w:rsid w:val="00AD2199"/>
    <w:rsid w:val="00AD29E4"/>
    <w:rsid w:val="00AD2A87"/>
    <w:rsid w:val="00AD2CCC"/>
    <w:rsid w:val="00AD36FD"/>
    <w:rsid w:val="00AD374D"/>
    <w:rsid w:val="00AD3758"/>
    <w:rsid w:val="00AD3A62"/>
    <w:rsid w:val="00AD3F0E"/>
    <w:rsid w:val="00AD406B"/>
    <w:rsid w:val="00AD4079"/>
    <w:rsid w:val="00AD408A"/>
    <w:rsid w:val="00AD4269"/>
    <w:rsid w:val="00AD4503"/>
    <w:rsid w:val="00AD460F"/>
    <w:rsid w:val="00AD46C2"/>
    <w:rsid w:val="00AD4832"/>
    <w:rsid w:val="00AD4CD5"/>
    <w:rsid w:val="00AD4DC3"/>
    <w:rsid w:val="00AD5388"/>
    <w:rsid w:val="00AD5471"/>
    <w:rsid w:val="00AD54B6"/>
    <w:rsid w:val="00AD5A95"/>
    <w:rsid w:val="00AD5CF2"/>
    <w:rsid w:val="00AD5DB3"/>
    <w:rsid w:val="00AD6B3E"/>
    <w:rsid w:val="00AD6C61"/>
    <w:rsid w:val="00AD6F2B"/>
    <w:rsid w:val="00AD75A1"/>
    <w:rsid w:val="00AD7691"/>
    <w:rsid w:val="00AD7A72"/>
    <w:rsid w:val="00AD7B61"/>
    <w:rsid w:val="00AD7E7C"/>
    <w:rsid w:val="00AE03BB"/>
    <w:rsid w:val="00AE0533"/>
    <w:rsid w:val="00AE060C"/>
    <w:rsid w:val="00AE0C39"/>
    <w:rsid w:val="00AE0EF4"/>
    <w:rsid w:val="00AE0FD3"/>
    <w:rsid w:val="00AE17F6"/>
    <w:rsid w:val="00AE1944"/>
    <w:rsid w:val="00AE2483"/>
    <w:rsid w:val="00AE2723"/>
    <w:rsid w:val="00AE296B"/>
    <w:rsid w:val="00AE2AD8"/>
    <w:rsid w:val="00AE2CA0"/>
    <w:rsid w:val="00AE2FD2"/>
    <w:rsid w:val="00AE3087"/>
    <w:rsid w:val="00AE3232"/>
    <w:rsid w:val="00AE36CD"/>
    <w:rsid w:val="00AE36D6"/>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B4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1DA"/>
    <w:rsid w:val="00AF1219"/>
    <w:rsid w:val="00AF127F"/>
    <w:rsid w:val="00AF1286"/>
    <w:rsid w:val="00AF1765"/>
    <w:rsid w:val="00AF2158"/>
    <w:rsid w:val="00AF22EF"/>
    <w:rsid w:val="00AF29A7"/>
    <w:rsid w:val="00AF3313"/>
    <w:rsid w:val="00AF34B8"/>
    <w:rsid w:val="00AF3B4A"/>
    <w:rsid w:val="00AF3C53"/>
    <w:rsid w:val="00AF3DB9"/>
    <w:rsid w:val="00AF3F7B"/>
    <w:rsid w:val="00AF4322"/>
    <w:rsid w:val="00AF49A6"/>
    <w:rsid w:val="00AF4A15"/>
    <w:rsid w:val="00AF5512"/>
    <w:rsid w:val="00AF57C1"/>
    <w:rsid w:val="00AF58BA"/>
    <w:rsid w:val="00AF5935"/>
    <w:rsid w:val="00AF5B93"/>
    <w:rsid w:val="00AF5BD2"/>
    <w:rsid w:val="00AF5D9F"/>
    <w:rsid w:val="00AF60E6"/>
    <w:rsid w:val="00AF65E0"/>
    <w:rsid w:val="00AF665A"/>
    <w:rsid w:val="00AF6B13"/>
    <w:rsid w:val="00AF6E52"/>
    <w:rsid w:val="00AF70B9"/>
    <w:rsid w:val="00AF735B"/>
    <w:rsid w:val="00AF743B"/>
    <w:rsid w:val="00AF75F7"/>
    <w:rsid w:val="00AF7AD1"/>
    <w:rsid w:val="00AF7E22"/>
    <w:rsid w:val="00B000E6"/>
    <w:rsid w:val="00B004C7"/>
    <w:rsid w:val="00B00815"/>
    <w:rsid w:val="00B00D0C"/>
    <w:rsid w:val="00B00F58"/>
    <w:rsid w:val="00B01561"/>
    <w:rsid w:val="00B01E4E"/>
    <w:rsid w:val="00B01EDD"/>
    <w:rsid w:val="00B0253E"/>
    <w:rsid w:val="00B025D1"/>
    <w:rsid w:val="00B026BF"/>
    <w:rsid w:val="00B0281F"/>
    <w:rsid w:val="00B02D2A"/>
    <w:rsid w:val="00B02E0B"/>
    <w:rsid w:val="00B02FF2"/>
    <w:rsid w:val="00B0301B"/>
    <w:rsid w:val="00B03298"/>
    <w:rsid w:val="00B034E8"/>
    <w:rsid w:val="00B0360A"/>
    <w:rsid w:val="00B037A4"/>
    <w:rsid w:val="00B03903"/>
    <w:rsid w:val="00B03997"/>
    <w:rsid w:val="00B039B4"/>
    <w:rsid w:val="00B03E80"/>
    <w:rsid w:val="00B041A0"/>
    <w:rsid w:val="00B04380"/>
    <w:rsid w:val="00B044CC"/>
    <w:rsid w:val="00B04BA7"/>
    <w:rsid w:val="00B0501D"/>
    <w:rsid w:val="00B05433"/>
    <w:rsid w:val="00B05648"/>
    <w:rsid w:val="00B05B38"/>
    <w:rsid w:val="00B05CE7"/>
    <w:rsid w:val="00B05D2C"/>
    <w:rsid w:val="00B05EC4"/>
    <w:rsid w:val="00B064A7"/>
    <w:rsid w:val="00B06AF3"/>
    <w:rsid w:val="00B06E20"/>
    <w:rsid w:val="00B0708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95"/>
    <w:rsid w:val="00B127A6"/>
    <w:rsid w:val="00B12D83"/>
    <w:rsid w:val="00B12FC0"/>
    <w:rsid w:val="00B131EA"/>
    <w:rsid w:val="00B13328"/>
    <w:rsid w:val="00B13771"/>
    <w:rsid w:val="00B13A88"/>
    <w:rsid w:val="00B13B64"/>
    <w:rsid w:val="00B13F9D"/>
    <w:rsid w:val="00B1438A"/>
    <w:rsid w:val="00B1449A"/>
    <w:rsid w:val="00B144EC"/>
    <w:rsid w:val="00B14A67"/>
    <w:rsid w:val="00B14BE6"/>
    <w:rsid w:val="00B14D41"/>
    <w:rsid w:val="00B1544E"/>
    <w:rsid w:val="00B154D7"/>
    <w:rsid w:val="00B1608F"/>
    <w:rsid w:val="00B160B8"/>
    <w:rsid w:val="00B164C6"/>
    <w:rsid w:val="00B168CF"/>
    <w:rsid w:val="00B16B91"/>
    <w:rsid w:val="00B17141"/>
    <w:rsid w:val="00B172AB"/>
    <w:rsid w:val="00B17455"/>
    <w:rsid w:val="00B176CD"/>
    <w:rsid w:val="00B17810"/>
    <w:rsid w:val="00B17CAF"/>
    <w:rsid w:val="00B17D87"/>
    <w:rsid w:val="00B20132"/>
    <w:rsid w:val="00B20A0A"/>
    <w:rsid w:val="00B20B7A"/>
    <w:rsid w:val="00B20B7C"/>
    <w:rsid w:val="00B20D5C"/>
    <w:rsid w:val="00B20F93"/>
    <w:rsid w:val="00B20FDF"/>
    <w:rsid w:val="00B2156C"/>
    <w:rsid w:val="00B21EFC"/>
    <w:rsid w:val="00B220B1"/>
    <w:rsid w:val="00B2274D"/>
    <w:rsid w:val="00B22A7E"/>
    <w:rsid w:val="00B22C12"/>
    <w:rsid w:val="00B230CB"/>
    <w:rsid w:val="00B233A3"/>
    <w:rsid w:val="00B23B5E"/>
    <w:rsid w:val="00B23B8E"/>
    <w:rsid w:val="00B23DB0"/>
    <w:rsid w:val="00B23E15"/>
    <w:rsid w:val="00B2419B"/>
    <w:rsid w:val="00B241A5"/>
    <w:rsid w:val="00B247AB"/>
    <w:rsid w:val="00B24A11"/>
    <w:rsid w:val="00B24B9F"/>
    <w:rsid w:val="00B24E69"/>
    <w:rsid w:val="00B24F47"/>
    <w:rsid w:val="00B24FD3"/>
    <w:rsid w:val="00B252DF"/>
    <w:rsid w:val="00B25622"/>
    <w:rsid w:val="00B25787"/>
    <w:rsid w:val="00B26158"/>
    <w:rsid w:val="00B2671C"/>
    <w:rsid w:val="00B274E3"/>
    <w:rsid w:val="00B2767C"/>
    <w:rsid w:val="00B276A6"/>
    <w:rsid w:val="00B2783A"/>
    <w:rsid w:val="00B27F46"/>
    <w:rsid w:val="00B27F48"/>
    <w:rsid w:val="00B30414"/>
    <w:rsid w:val="00B30926"/>
    <w:rsid w:val="00B30B5E"/>
    <w:rsid w:val="00B30C2C"/>
    <w:rsid w:val="00B30EFE"/>
    <w:rsid w:val="00B3140C"/>
    <w:rsid w:val="00B316CA"/>
    <w:rsid w:val="00B317A1"/>
    <w:rsid w:val="00B31872"/>
    <w:rsid w:val="00B31927"/>
    <w:rsid w:val="00B31B88"/>
    <w:rsid w:val="00B31C7C"/>
    <w:rsid w:val="00B323B8"/>
    <w:rsid w:val="00B323DA"/>
    <w:rsid w:val="00B32404"/>
    <w:rsid w:val="00B3265D"/>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D0"/>
    <w:rsid w:val="00B353E7"/>
    <w:rsid w:val="00B35421"/>
    <w:rsid w:val="00B35BE9"/>
    <w:rsid w:val="00B36095"/>
    <w:rsid w:val="00B360CE"/>
    <w:rsid w:val="00B366FB"/>
    <w:rsid w:val="00B3686D"/>
    <w:rsid w:val="00B36C41"/>
    <w:rsid w:val="00B37268"/>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54F"/>
    <w:rsid w:val="00B42901"/>
    <w:rsid w:val="00B42CD6"/>
    <w:rsid w:val="00B42D26"/>
    <w:rsid w:val="00B42EB2"/>
    <w:rsid w:val="00B43186"/>
    <w:rsid w:val="00B43359"/>
    <w:rsid w:val="00B4347B"/>
    <w:rsid w:val="00B4358D"/>
    <w:rsid w:val="00B43913"/>
    <w:rsid w:val="00B43D6A"/>
    <w:rsid w:val="00B443A4"/>
    <w:rsid w:val="00B443DC"/>
    <w:rsid w:val="00B444E9"/>
    <w:rsid w:val="00B44A0E"/>
    <w:rsid w:val="00B44E83"/>
    <w:rsid w:val="00B45112"/>
    <w:rsid w:val="00B45565"/>
    <w:rsid w:val="00B4569C"/>
    <w:rsid w:val="00B457AD"/>
    <w:rsid w:val="00B459C1"/>
    <w:rsid w:val="00B45C1A"/>
    <w:rsid w:val="00B45E3A"/>
    <w:rsid w:val="00B462F0"/>
    <w:rsid w:val="00B4698C"/>
    <w:rsid w:val="00B46A46"/>
    <w:rsid w:val="00B46B64"/>
    <w:rsid w:val="00B46E3B"/>
    <w:rsid w:val="00B474B0"/>
    <w:rsid w:val="00B47749"/>
    <w:rsid w:val="00B47888"/>
    <w:rsid w:val="00B47DB7"/>
    <w:rsid w:val="00B47FDC"/>
    <w:rsid w:val="00B50351"/>
    <w:rsid w:val="00B504A4"/>
    <w:rsid w:val="00B50A09"/>
    <w:rsid w:val="00B50A17"/>
    <w:rsid w:val="00B50BA2"/>
    <w:rsid w:val="00B50BF1"/>
    <w:rsid w:val="00B50D3F"/>
    <w:rsid w:val="00B510B2"/>
    <w:rsid w:val="00B51386"/>
    <w:rsid w:val="00B518ED"/>
    <w:rsid w:val="00B51A8B"/>
    <w:rsid w:val="00B51CBA"/>
    <w:rsid w:val="00B51D56"/>
    <w:rsid w:val="00B51F38"/>
    <w:rsid w:val="00B523A6"/>
    <w:rsid w:val="00B525BE"/>
    <w:rsid w:val="00B52826"/>
    <w:rsid w:val="00B52870"/>
    <w:rsid w:val="00B52975"/>
    <w:rsid w:val="00B529AD"/>
    <w:rsid w:val="00B52A1F"/>
    <w:rsid w:val="00B52C02"/>
    <w:rsid w:val="00B52C79"/>
    <w:rsid w:val="00B52D91"/>
    <w:rsid w:val="00B52F6C"/>
    <w:rsid w:val="00B5334B"/>
    <w:rsid w:val="00B5343B"/>
    <w:rsid w:val="00B53511"/>
    <w:rsid w:val="00B5366D"/>
    <w:rsid w:val="00B53681"/>
    <w:rsid w:val="00B53B5F"/>
    <w:rsid w:val="00B53E4B"/>
    <w:rsid w:val="00B53EFE"/>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578B6"/>
    <w:rsid w:val="00B6000D"/>
    <w:rsid w:val="00B601FD"/>
    <w:rsid w:val="00B60878"/>
    <w:rsid w:val="00B61027"/>
    <w:rsid w:val="00B610DC"/>
    <w:rsid w:val="00B61AB9"/>
    <w:rsid w:val="00B61F00"/>
    <w:rsid w:val="00B62128"/>
    <w:rsid w:val="00B626B1"/>
    <w:rsid w:val="00B629DE"/>
    <w:rsid w:val="00B62A48"/>
    <w:rsid w:val="00B62A97"/>
    <w:rsid w:val="00B62DB3"/>
    <w:rsid w:val="00B62F0C"/>
    <w:rsid w:val="00B63413"/>
    <w:rsid w:val="00B637D8"/>
    <w:rsid w:val="00B6381C"/>
    <w:rsid w:val="00B638E2"/>
    <w:rsid w:val="00B63EE7"/>
    <w:rsid w:val="00B640B5"/>
    <w:rsid w:val="00B642D4"/>
    <w:rsid w:val="00B643C3"/>
    <w:rsid w:val="00B6480E"/>
    <w:rsid w:val="00B64A9C"/>
    <w:rsid w:val="00B64BB8"/>
    <w:rsid w:val="00B64CCB"/>
    <w:rsid w:val="00B64D57"/>
    <w:rsid w:val="00B65098"/>
    <w:rsid w:val="00B657FD"/>
    <w:rsid w:val="00B65CA2"/>
    <w:rsid w:val="00B6632F"/>
    <w:rsid w:val="00B663D0"/>
    <w:rsid w:val="00B667EC"/>
    <w:rsid w:val="00B669B3"/>
    <w:rsid w:val="00B66DC7"/>
    <w:rsid w:val="00B67066"/>
    <w:rsid w:val="00B670C0"/>
    <w:rsid w:val="00B67191"/>
    <w:rsid w:val="00B67428"/>
    <w:rsid w:val="00B6748D"/>
    <w:rsid w:val="00B67832"/>
    <w:rsid w:val="00B67E53"/>
    <w:rsid w:val="00B706F3"/>
    <w:rsid w:val="00B7072C"/>
    <w:rsid w:val="00B70A7D"/>
    <w:rsid w:val="00B70CB8"/>
    <w:rsid w:val="00B71689"/>
    <w:rsid w:val="00B71BFD"/>
    <w:rsid w:val="00B71CEF"/>
    <w:rsid w:val="00B71FDB"/>
    <w:rsid w:val="00B721B7"/>
    <w:rsid w:val="00B724E3"/>
    <w:rsid w:val="00B725A5"/>
    <w:rsid w:val="00B72693"/>
    <w:rsid w:val="00B72CC6"/>
    <w:rsid w:val="00B73719"/>
    <w:rsid w:val="00B73E05"/>
    <w:rsid w:val="00B73F92"/>
    <w:rsid w:val="00B741E5"/>
    <w:rsid w:val="00B74365"/>
    <w:rsid w:val="00B745A3"/>
    <w:rsid w:val="00B746CC"/>
    <w:rsid w:val="00B74A4A"/>
    <w:rsid w:val="00B74B19"/>
    <w:rsid w:val="00B74EEB"/>
    <w:rsid w:val="00B750E9"/>
    <w:rsid w:val="00B75581"/>
    <w:rsid w:val="00B75642"/>
    <w:rsid w:val="00B758E1"/>
    <w:rsid w:val="00B75EB7"/>
    <w:rsid w:val="00B762A1"/>
    <w:rsid w:val="00B7683D"/>
    <w:rsid w:val="00B76840"/>
    <w:rsid w:val="00B76B57"/>
    <w:rsid w:val="00B76C73"/>
    <w:rsid w:val="00B76CDA"/>
    <w:rsid w:val="00B76DBC"/>
    <w:rsid w:val="00B770D7"/>
    <w:rsid w:val="00B771A7"/>
    <w:rsid w:val="00B77411"/>
    <w:rsid w:val="00B7746E"/>
    <w:rsid w:val="00B77ED7"/>
    <w:rsid w:val="00B8019B"/>
    <w:rsid w:val="00B801B6"/>
    <w:rsid w:val="00B802C1"/>
    <w:rsid w:val="00B8036E"/>
    <w:rsid w:val="00B80587"/>
    <w:rsid w:val="00B805D7"/>
    <w:rsid w:val="00B809D3"/>
    <w:rsid w:val="00B80AFA"/>
    <w:rsid w:val="00B80B3E"/>
    <w:rsid w:val="00B80FF0"/>
    <w:rsid w:val="00B81070"/>
    <w:rsid w:val="00B81177"/>
    <w:rsid w:val="00B8136E"/>
    <w:rsid w:val="00B8162A"/>
    <w:rsid w:val="00B81B7A"/>
    <w:rsid w:val="00B81EFF"/>
    <w:rsid w:val="00B820DE"/>
    <w:rsid w:val="00B8255F"/>
    <w:rsid w:val="00B8260D"/>
    <w:rsid w:val="00B826D9"/>
    <w:rsid w:val="00B8284B"/>
    <w:rsid w:val="00B82910"/>
    <w:rsid w:val="00B82D75"/>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87EB0"/>
    <w:rsid w:val="00B902C0"/>
    <w:rsid w:val="00B90545"/>
    <w:rsid w:val="00B908C1"/>
    <w:rsid w:val="00B90994"/>
    <w:rsid w:val="00B90A49"/>
    <w:rsid w:val="00B911E2"/>
    <w:rsid w:val="00B917C9"/>
    <w:rsid w:val="00B9206F"/>
    <w:rsid w:val="00B920F3"/>
    <w:rsid w:val="00B92918"/>
    <w:rsid w:val="00B92983"/>
    <w:rsid w:val="00B92D46"/>
    <w:rsid w:val="00B92E71"/>
    <w:rsid w:val="00B93082"/>
    <w:rsid w:val="00B93225"/>
    <w:rsid w:val="00B9391E"/>
    <w:rsid w:val="00B93AB0"/>
    <w:rsid w:val="00B93D19"/>
    <w:rsid w:val="00B93D66"/>
    <w:rsid w:val="00B94140"/>
    <w:rsid w:val="00B941C0"/>
    <w:rsid w:val="00B94638"/>
    <w:rsid w:val="00B946D3"/>
    <w:rsid w:val="00B946FF"/>
    <w:rsid w:val="00B94847"/>
    <w:rsid w:val="00B94B71"/>
    <w:rsid w:val="00B94C09"/>
    <w:rsid w:val="00B950D3"/>
    <w:rsid w:val="00B9523A"/>
    <w:rsid w:val="00B95276"/>
    <w:rsid w:val="00B95905"/>
    <w:rsid w:val="00B9596B"/>
    <w:rsid w:val="00B95986"/>
    <w:rsid w:val="00B95C50"/>
    <w:rsid w:val="00B95CA6"/>
    <w:rsid w:val="00B95E28"/>
    <w:rsid w:val="00B96816"/>
    <w:rsid w:val="00B969EC"/>
    <w:rsid w:val="00B96C72"/>
    <w:rsid w:val="00B96E42"/>
    <w:rsid w:val="00B97032"/>
    <w:rsid w:val="00B9705B"/>
    <w:rsid w:val="00B9728E"/>
    <w:rsid w:val="00B97433"/>
    <w:rsid w:val="00B976FB"/>
    <w:rsid w:val="00B97787"/>
    <w:rsid w:val="00B97805"/>
    <w:rsid w:val="00B978A9"/>
    <w:rsid w:val="00B97B7E"/>
    <w:rsid w:val="00B97DF4"/>
    <w:rsid w:val="00BA01CC"/>
    <w:rsid w:val="00BA028B"/>
    <w:rsid w:val="00BA02C5"/>
    <w:rsid w:val="00BA090E"/>
    <w:rsid w:val="00BA0A0B"/>
    <w:rsid w:val="00BA0ACF"/>
    <w:rsid w:val="00BA0E45"/>
    <w:rsid w:val="00BA1057"/>
    <w:rsid w:val="00BA13C2"/>
    <w:rsid w:val="00BA13C3"/>
    <w:rsid w:val="00BA1420"/>
    <w:rsid w:val="00BA1A3F"/>
    <w:rsid w:val="00BA2BF6"/>
    <w:rsid w:val="00BA30D3"/>
    <w:rsid w:val="00BA31D7"/>
    <w:rsid w:val="00BA359C"/>
    <w:rsid w:val="00BA3D2D"/>
    <w:rsid w:val="00BA3D42"/>
    <w:rsid w:val="00BA3E38"/>
    <w:rsid w:val="00BA430D"/>
    <w:rsid w:val="00BA466A"/>
    <w:rsid w:val="00BA466D"/>
    <w:rsid w:val="00BA4A8C"/>
    <w:rsid w:val="00BA5697"/>
    <w:rsid w:val="00BA574A"/>
    <w:rsid w:val="00BA59C2"/>
    <w:rsid w:val="00BA5BDE"/>
    <w:rsid w:val="00BA5F15"/>
    <w:rsid w:val="00BA6022"/>
    <w:rsid w:val="00BA6204"/>
    <w:rsid w:val="00BA6207"/>
    <w:rsid w:val="00BA63F4"/>
    <w:rsid w:val="00BA68F6"/>
    <w:rsid w:val="00BA6949"/>
    <w:rsid w:val="00BA705D"/>
    <w:rsid w:val="00BA70A9"/>
    <w:rsid w:val="00BA7842"/>
    <w:rsid w:val="00BA7F91"/>
    <w:rsid w:val="00BB0067"/>
    <w:rsid w:val="00BB00DE"/>
    <w:rsid w:val="00BB072E"/>
    <w:rsid w:val="00BB0773"/>
    <w:rsid w:val="00BB081A"/>
    <w:rsid w:val="00BB08A8"/>
    <w:rsid w:val="00BB1215"/>
    <w:rsid w:val="00BB1245"/>
    <w:rsid w:val="00BB12FC"/>
    <w:rsid w:val="00BB1314"/>
    <w:rsid w:val="00BB15AB"/>
    <w:rsid w:val="00BB15F1"/>
    <w:rsid w:val="00BB162D"/>
    <w:rsid w:val="00BB1906"/>
    <w:rsid w:val="00BB225F"/>
    <w:rsid w:val="00BB2271"/>
    <w:rsid w:val="00BB2961"/>
    <w:rsid w:val="00BB2D68"/>
    <w:rsid w:val="00BB2DBA"/>
    <w:rsid w:val="00BB2FA6"/>
    <w:rsid w:val="00BB32DA"/>
    <w:rsid w:val="00BB3597"/>
    <w:rsid w:val="00BB35B0"/>
    <w:rsid w:val="00BB3911"/>
    <w:rsid w:val="00BB3930"/>
    <w:rsid w:val="00BB3B92"/>
    <w:rsid w:val="00BB3C5A"/>
    <w:rsid w:val="00BB3D78"/>
    <w:rsid w:val="00BB3E26"/>
    <w:rsid w:val="00BB3EBD"/>
    <w:rsid w:val="00BB43B0"/>
    <w:rsid w:val="00BB4477"/>
    <w:rsid w:val="00BB451C"/>
    <w:rsid w:val="00BB4565"/>
    <w:rsid w:val="00BB4653"/>
    <w:rsid w:val="00BB478B"/>
    <w:rsid w:val="00BB4C75"/>
    <w:rsid w:val="00BB52FC"/>
    <w:rsid w:val="00BB5368"/>
    <w:rsid w:val="00BB54DA"/>
    <w:rsid w:val="00BB5516"/>
    <w:rsid w:val="00BB579A"/>
    <w:rsid w:val="00BB5ED7"/>
    <w:rsid w:val="00BB60D9"/>
    <w:rsid w:val="00BB6801"/>
    <w:rsid w:val="00BB6D71"/>
    <w:rsid w:val="00BB71D7"/>
    <w:rsid w:val="00BB7280"/>
    <w:rsid w:val="00BB7312"/>
    <w:rsid w:val="00BB7ABF"/>
    <w:rsid w:val="00BB7C33"/>
    <w:rsid w:val="00BC0096"/>
    <w:rsid w:val="00BC031E"/>
    <w:rsid w:val="00BC0363"/>
    <w:rsid w:val="00BC0914"/>
    <w:rsid w:val="00BC10C2"/>
    <w:rsid w:val="00BC1AE1"/>
    <w:rsid w:val="00BC1D25"/>
    <w:rsid w:val="00BC1D76"/>
    <w:rsid w:val="00BC1F69"/>
    <w:rsid w:val="00BC21AA"/>
    <w:rsid w:val="00BC21AF"/>
    <w:rsid w:val="00BC2422"/>
    <w:rsid w:val="00BC2503"/>
    <w:rsid w:val="00BC2756"/>
    <w:rsid w:val="00BC290E"/>
    <w:rsid w:val="00BC2B80"/>
    <w:rsid w:val="00BC2D0C"/>
    <w:rsid w:val="00BC2FA5"/>
    <w:rsid w:val="00BC33FD"/>
    <w:rsid w:val="00BC34B5"/>
    <w:rsid w:val="00BC35A2"/>
    <w:rsid w:val="00BC36E3"/>
    <w:rsid w:val="00BC38D4"/>
    <w:rsid w:val="00BC41E1"/>
    <w:rsid w:val="00BC42E3"/>
    <w:rsid w:val="00BC449B"/>
    <w:rsid w:val="00BC46CF"/>
    <w:rsid w:val="00BC47C6"/>
    <w:rsid w:val="00BC48A8"/>
    <w:rsid w:val="00BC49EF"/>
    <w:rsid w:val="00BC5AF9"/>
    <w:rsid w:val="00BC5E44"/>
    <w:rsid w:val="00BC60EF"/>
    <w:rsid w:val="00BC6667"/>
    <w:rsid w:val="00BC6763"/>
    <w:rsid w:val="00BC6DF7"/>
    <w:rsid w:val="00BC79D4"/>
    <w:rsid w:val="00BC79E1"/>
    <w:rsid w:val="00BD006E"/>
    <w:rsid w:val="00BD049C"/>
    <w:rsid w:val="00BD04AC"/>
    <w:rsid w:val="00BD0526"/>
    <w:rsid w:val="00BD075A"/>
    <w:rsid w:val="00BD09BA"/>
    <w:rsid w:val="00BD0A21"/>
    <w:rsid w:val="00BD0E7B"/>
    <w:rsid w:val="00BD0EDB"/>
    <w:rsid w:val="00BD1622"/>
    <w:rsid w:val="00BD181F"/>
    <w:rsid w:val="00BD19D4"/>
    <w:rsid w:val="00BD1C89"/>
    <w:rsid w:val="00BD1E3E"/>
    <w:rsid w:val="00BD2B35"/>
    <w:rsid w:val="00BD2B3F"/>
    <w:rsid w:val="00BD3173"/>
    <w:rsid w:val="00BD347E"/>
    <w:rsid w:val="00BD34C0"/>
    <w:rsid w:val="00BD354F"/>
    <w:rsid w:val="00BD35BB"/>
    <w:rsid w:val="00BD3BEC"/>
    <w:rsid w:val="00BD4607"/>
    <w:rsid w:val="00BD4BEA"/>
    <w:rsid w:val="00BD5069"/>
    <w:rsid w:val="00BD5106"/>
    <w:rsid w:val="00BD529A"/>
    <w:rsid w:val="00BD54EA"/>
    <w:rsid w:val="00BD55E1"/>
    <w:rsid w:val="00BD56B4"/>
    <w:rsid w:val="00BD5AEA"/>
    <w:rsid w:val="00BD5B1C"/>
    <w:rsid w:val="00BD5F7C"/>
    <w:rsid w:val="00BD640E"/>
    <w:rsid w:val="00BD6C14"/>
    <w:rsid w:val="00BD6D79"/>
    <w:rsid w:val="00BD6D90"/>
    <w:rsid w:val="00BD6FC0"/>
    <w:rsid w:val="00BD75A5"/>
    <w:rsid w:val="00BD7A58"/>
    <w:rsid w:val="00BD7B8A"/>
    <w:rsid w:val="00BD7BB2"/>
    <w:rsid w:val="00BD7C25"/>
    <w:rsid w:val="00BE0077"/>
    <w:rsid w:val="00BE0346"/>
    <w:rsid w:val="00BE036E"/>
    <w:rsid w:val="00BE040B"/>
    <w:rsid w:val="00BE05E2"/>
    <w:rsid w:val="00BE060B"/>
    <w:rsid w:val="00BE06ED"/>
    <w:rsid w:val="00BE0A75"/>
    <w:rsid w:val="00BE0BA5"/>
    <w:rsid w:val="00BE0C04"/>
    <w:rsid w:val="00BE0CA0"/>
    <w:rsid w:val="00BE0CBF"/>
    <w:rsid w:val="00BE0D07"/>
    <w:rsid w:val="00BE0F38"/>
    <w:rsid w:val="00BE0F90"/>
    <w:rsid w:val="00BE10BA"/>
    <w:rsid w:val="00BE167E"/>
    <w:rsid w:val="00BE174A"/>
    <w:rsid w:val="00BE19B0"/>
    <w:rsid w:val="00BE328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C9"/>
    <w:rsid w:val="00BE57ED"/>
    <w:rsid w:val="00BE5800"/>
    <w:rsid w:val="00BE5961"/>
    <w:rsid w:val="00BE5B27"/>
    <w:rsid w:val="00BE5E09"/>
    <w:rsid w:val="00BE5E53"/>
    <w:rsid w:val="00BE5E93"/>
    <w:rsid w:val="00BE5EB7"/>
    <w:rsid w:val="00BE62F3"/>
    <w:rsid w:val="00BE65B8"/>
    <w:rsid w:val="00BE6825"/>
    <w:rsid w:val="00BE68CB"/>
    <w:rsid w:val="00BE6A77"/>
    <w:rsid w:val="00BE702F"/>
    <w:rsid w:val="00BE79A6"/>
    <w:rsid w:val="00BE79F0"/>
    <w:rsid w:val="00BE7A36"/>
    <w:rsid w:val="00BE7C2A"/>
    <w:rsid w:val="00BE7F68"/>
    <w:rsid w:val="00BF032A"/>
    <w:rsid w:val="00BF0F93"/>
    <w:rsid w:val="00BF15B8"/>
    <w:rsid w:val="00BF1989"/>
    <w:rsid w:val="00BF1F24"/>
    <w:rsid w:val="00BF216B"/>
    <w:rsid w:val="00BF2412"/>
    <w:rsid w:val="00BF24A9"/>
    <w:rsid w:val="00BF2AA3"/>
    <w:rsid w:val="00BF2E33"/>
    <w:rsid w:val="00BF2FBF"/>
    <w:rsid w:val="00BF35BC"/>
    <w:rsid w:val="00BF3B22"/>
    <w:rsid w:val="00BF3DAD"/>
    <w:rsid w:val="00BF3FC1"/>
    <w:rsid w:val="00BF4100"/>
    <w:rsid w:val="00BF4260"/>
    <w:rsid w:val="00BF4391"/>
    <w:rsid w:val="00BF4458"/>
    <w:rsid w:val="00BF486D"/>
    <w:rsid w:val="00BF48C5"/>
    <w:rsid w:val="00BF48FA"/>
    <w:rsid w:val="00BF4EBC"/>
    <w:rsid w:val="00BF4F0A"/>
    <w:rsid w:val="00BF50AE"/>
    <w:rsid w:val="00BF5DFF"/>
    <w:rsid w:val="00BF69D1"/>
    <w:rsid w:val="00BF6D60"/>
    <w:rsid w:val="00BF6DD9"/>
    <w:rsid w:val="00BF6ED3"/>
    <w:rsid w:val="00BF70B9"/>
    <w:rsid w:val="00BF7377"/>
    <w:rsid w:val="00BF7451"/>
    <w:rsid w:val="00BF780C"/>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B09"/>
    <w:rsid w:val="00C02039"/>
    <w:rsid w:val="00C021D4"/>
    <w:rsid w:val="00C022E5"/>
    <w:rsid w:val="00C024C9"/>
    <w:rsid w:val="00C02696"/>
    <w:rsid w:val="00C02B62"/>
    <w:rsid w:val="00C03361"/>
    <w:rsid w:val="00C03759"/>
    <w:rsid w:val="00C0382C"/>
    <w:rsid w:val="00C03BEC"/>
    <w:rsid w:val="00C03D60"/>
    <w:rsid w:val="00C0443D"/>
    <w:rsid w:val="00C04630"/>
    <w:rsid w:val="00C048FC"/>
    <w:rsid w:val="00C04999"/>
    <w:rsid w:val="00C04D01"/>
    <w:rsid w:val="00C04F87"/>
    <w:rsid w:val="00C0531F"/>
    <w:rsid w:val="00C05462"/>
    <w:rsid w:val="00C05C90"/>
    <w:rsid w:val="00C061BC"/>
    <w:rsid w:val="00C063A8"/>
    <w:rsid w:val="00C06407"/>
    <w:rsid w:val="00C067F9"/>
    <w:rsid w:val="00C06D15"/>
    <w:rsid w:val="00C06DAC"/>
    <w:rsid w:val="00C06E91"/>
    <w:rsid w:val="00C07324"/>
    <w:rsid w:val="00C07789"/>
    <w:rsid w:val="00C07812"/>
    <w:rsid w:val="00C07835"/>
    <w:rsid w:val="00C07A37"/>
    <w:rsid w:val="00C07E2D"/>
    <w:rsid w:val="00C100A5"/>
    <w:rsid w:val="00C10A7A"/>
    <w:rsid w:val="00C10B7B"/>
    <w:rsid w:val="00C10EA1"/>
    <w:rsid w:val="00C1102F"/>
    <w:rsid w:val="00C115D4"/>
    <w:rsid w:val="00C11607"/>
    <w:rsid w:val="00C117E2"/>
    <w:rsid w:val="00C11C12"/>
    <w:rsid w:val="00C11D3C"/>
    <w:rsid w:val="00C11E14"/>
    <w:rsid w:val="00C11FB8"/>
    <w:rsid w:val="00C121C5"/>
    <w:rsid w:val="00C12210"/>
    <w:rsid w:val="00C124B6"/>
    <w:rsid w:val="00C12DC1"/>
    <w:rsid w:val="00C12DED"/>
    <w:rsid w:val="00C13134"/>
    <w:rsid w:val="00C13B5A"/>
    <w:rsid w:val="00C13EB0"/>
    <w:rsid w:val="00C14034"/>
    <w:rsid w:val="00C145BA"/>
    <w:rsid w:val="00C14F0C"/>
    <w:rsid w:val="00C152AA"/>
    <w:rsid w:val="00C1531C"/>
    <w:rsid w:val="00C1542D"/>
    <w:rsid w:val="00C154D3"/>
    <w:rsid w:val="00C15642"/>
    <w:rsid w:val="00C1568D"/>
    <w:rsid w:val="00C157C9"/>
    <w:rsid w:val="00C15964"/>
    <w:rsid w:val="00C15B0B"/>
    <w:rsid w:val="00C15C21"/>
    <w:rsid w:val="00C15F01"/>
    <w:rsid w:val="00C1619C"/>
    <w:rsid w:val="00C16377"/>
    <w:rsid w:val="00C1637F"/>
    <w:rsid w:val="00C1641D"/>
    <w:rsid w:val="00C16595"/>
    <w:rsid w:val="00C16743"/>
    <w:rsid w:val="00C16E0B"/>
    <w:rsid w:val="00C16F1C"/>
    <w:rsid w:val="00C16F6F"/>
    <w:rsid w:val="00C17125"/>
    <w:rsid w:val="00C17737"/>
    <w:rsid w:val="00C17B7F"/>
    <w:rsid w:val="00C17CB3"/>
    <w:rsid w:val="00C17D54"/>
    <w:rsid w:val="00C17D87"/>
    <w:rsid w:val="00C20126"/>
    <w:rsid w:val="00C203F4"/>
    <w:rsid w:val="00C208E1"/>
    <w:rsid w:val="00C20B38"/>
    <w:rsid w:val="00C20D34"/>
    <w:rsid w:val="00C20E48"/>
    <w:rsid w:val="00C20F83"/>
    <w:rsid w:val="00C211B9"/>
    <w:rsid w:val="00C21247"/>
    <w:rsid w:val="00C213A2"/>
    <w:rsid w:val="00C2151D"/>
    <w:rsid w:val="00C21772"/>
    <w:rsid w:val="00C21972"/>
    <w:rsid w:val="00C21AE5"/>
    <w:rsid w:val="00C21BCB"/>
    <w:rsid w:val="00C21ECA"/>
    <w:rsid w:val="00C222EF"/>
    <w:rsid w:val="00C22503"/>
    <w:rsid w:val="00C226C7"/>
    <w:rsid w:val="00C22D6D"/>
    <w:rsid w:val="00C23149"/>
    <w:rsid w:val="00C23241"/>
    <w:rsid w:val="00C23287"/>
    <w:rsid w:val="00C2388A"/>
    <w:rsid w:val="00C23EEF"/>
    <w:rsid w:val="00C24116"/>
    <w:rsid w:val="00C24344"/>
    <w:rsid w:val="00C247C4"/>
    <w:rsid w:val="00C247FD"/>
    <w:rsid w:val="00C24831"/>
    <w:rsid w:val="00C24A07"/>
    <w:rsid w:val="00C24B64"/>
    <w:rsid w:val="00C24E01"/>
    <w:rsid w:val="00C24EF5"/>
    <w:rsid w:val="00C2561D"/>
    <w:rsid w:val="00C25700"/>
    <w:rsid w:val="00C258B1"/>
    <w:rsid w:val="00C2626E"/>
    <w:rsid w:val="00C2657B"/>
    <w:rsid w:val="00C266A8"/>
    <w:rsid w:val="00C26914"/>
    <w:rsid w:val="00C26A79"/>
    <w:rsid w:val="00C272D4"/>
    <w:rsid w:val="00C2737B"/>
    <w:rsid w:val="00C274CE"/>
    <w:rsid w:val="00C2782A"/>
    <w:rsid w:val="00C2796B"/>
    <w:rsid w:val="00C27AD6"/>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107"/>
    <w:rsid w:val="00C33C03"/>
    <w:rsid w:val="00C33CCC"/>
    <w:rsid w:val="00C33D63"/>
    <w:rsid w:val="00C340FB"/>
    <w:rsid w:val="00C34562"/>
    <w:rsid w:val="00C3481A"/>
    <w:rsid w:val="00C352DE"/>
    <w:rsid w:val="00C3560C"/>
    <w:rsid w:val="00C356B8"/>
    <w:rsid w:val="00C35712"/>
    <w:rsid w:val="00C3597C"/>
    <w:rsid w:val="00C359A9"/>
    <w:rsid w:val="00C35C12"/>
    <w:rsid w:val="00C35E9D"/>
    <w:rsid w:val="00C3649C"/>
    <w:rsid w:val="00C3695F"/>
    <w:rsid w:val="00C36A36"/>
    <w:rsid w:val="00C36ACB"/>
    <w:rsid w:val="00C36AF2"/>
    <w:rsid w:val="00C36E47"/>
    <w:rsid w:val="00C370A6"/>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4BA"/>
    <w:rsid w:val="00C445D0"/>
    <w:rsid w:val="00C44ED1"/>
    <w:rsid w:val="00C4508A"/>
    <w:rsid w:val="00C450B3"/>
    <w:rsid w:val="00C45886"/>
    <w:rsid w:val="00C46358"/>
    <w:rsid w:val="00C463AE"/>
    <w:rsid w:val="00C467B3"/>
    <w:rsid w:val="00C46909"/>
    <w:rsid w:val="00C46AD4"/>
    <w:rsid w:val="00C46C11"/>
    <w:rsid w:val="00C46C6C"/>
    <w:rsid w:val="00C46E90"/>
    <w:rsid w:val="00C470D3"/>
    <w:rsid w:val="00C471E7"/>
    <w:rsid w:val="00C473FD"/>
    <w:rsid w:val="00C476F7"/>
    <w:rsid w:val="00C477A8"/>
    <w:rsid w:val="00C477F2"/>
    <w:rsid w:val="00C47909"/>
    <w:rsid w:val="00C47B4E"/>
    <w:rsid w:val="00C47B83"/>
    <w:rsid w:val="00C47BD2"/>
    <w:rsid w:val="00C47CA6"/>
    <w:rsid w:val="00C5077C"/>
    <w:rsid w:val="00C51453"/>
    <w:rsid w:val="00C514BC"/>
    <w:rsid w:val="00C515A3"/>
    <w:rsid w:val="00C519FD"/>
    <w:rsid w:val="00C51BD8"/>
    <w:rsid w:val="00C51D3E"/>
    <w:rsid w:val="00C51D4C"/>
    <w:rsid w:val="00C51F50"/>
    <w:rsid w:val="00C529E4"/>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4F1"/>
    <w:rsid w:val="00C577EA"/>
    <w:rsid w:val="00C57958"/>
    <w:rsid w:val="00C57A8B"/>
    <w:rsid w:val="00C57B09"/>
    <w:rsid w:val="00C57D0C"/>
    <w:rsid w:val="00C57D21"/>
    <w:rsid w:val="00C602F7"/>
    <w:rsid w:val="00C60335"/>
    <w:rsid w:val="00C605C4"/>
    <w:rsid w:val="00C606AC"/>
    <w:rsid w:val="00C607D9"/>
    <w:rsid w:val="00C609FF"/>
    <w:rsid w:val="00C60A1C"/>
    <w:rsid w:val="00C60C08"/>
    <w:rsid w:val="00C60C68"/>
    <w:rsid w:val="00C6111E"/>
    <w:rsid w:val="00C6194C"/>
    <w:rsid w:val="00C6225C"/>
    <w:rsid w:val="00C624C4"/>
    <w:rsid w:val="00C624CF"/>
    <w:rsid w:val="00C63250"/>
    <w:rsid w:val="00C63286"/>
    <w:rsid w:val="00C6339E"/>
    <w:rsid w:val="00C635BF"/>
    <w:rsid w:val="00C637AF"/>
    <w:rsid w:val="00C63E9B"/>
    <w:rsid w:val="00C642C7"/>
    <w:rsid w:val="00C64B52"/>
    <w:rsid w:val="00C64CA7"/>
    <w:rsid w:val="00C65023"/>
    <w:rsid w:val="00C65515"/>
    <w:rsid w:val="00C655FF"/>
    <w:rsid w:val="00C6569E"/>
    <w:rsid w:val="00C659DC"/>
    <w:rsid w:val="00C65AA9"/>
    <w:rsid w:val="00C65BA6"/>
    <w:rsid w:val="00C65CFC"/>
    <w:rsid w:val="00C65D93"/>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2BB"/>
    <w:rsid w:val="00C734D0"/>
    <w:rsid w:val="00C73C6F"/>
    <w:rsid w:val="00C74449"/>
    <w:rsid w:val="00C74A06"/>
    <w:rsid w:val="00C74B99"/>
    <w:rsid w:val="00C74C3D"/>
    <w:rsid w:val="00C74ECF"/>
    <w:rsid w:val="00C75783"/>
    <w:rsid w:val="00C757FD"/>
    <w:rsid w:val="00C75AC6"/>
    <w:rsid w:val="00C76220"/>
    <w:rsid w:val="00C76588"/>
    <w:rsid w:val="00C76A03"/>
    <w:rsid w:val="00C76FFE"/>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07B"/>
    <w:rsid w:val="00C84138"/>
    <w:rsid w:val="00C84E67"/>
    <w:rsid w:val="00C84EDF"/>
    <w:rsid w:val="00C851D0"/>
    <w:rsid w:val="00C8583D"/>
    <w:rsid w:val="00C85B84"/>
    <w:rsid w:val="00C85CAD"/>
    <w:rsid w:val="00C86031"/>
    <w:rsid w:val="00C86069"/>
    <w:rsid w:val="00C864A4"/>
    <w:rsid w:val="00C86F27"/>
    <w:rsid w:val="00C87318"/>
    <w:rsid w:val="00C873D6"/>
    <w:rsid w:val="00C87480"/>
    <w:rsid w:val="00C8776C"/>
    <w:rsid w:val="00C87AF6"/>
    <w:rsid w:val="00C87CAA"/>
    <w:rsid w:val="00C87F64"/>
    <w:rsid w:val="00C912E9"/>
    <w:rsid w:val="00C9158E"/>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660"/>
    <w:rsid w:val="00CA0820"/>
    <w:rsid w:val="00CA0A11"/>
    <w:rsid w:val="00CA0B6E"/>
    <w:rsid w:val="00CA1962"/>
    <w:rsid w:val="00CA1B2A"/>
    <w:rsid w:val="00CA1FAC"/>
    <w:rsid w:val="00CA1FAE"/>
    <w:rsid w:val="00CA2430"/>
    <w:rsid w:val="00CA309B"/>
    <w:rsid w:val="00CA3358"/>
    <w:rsid w:val="00CA3578"/>
    <w:rsid w:val="00CA35A0"/>
    <w:rsid w:val="00CA35B3"/>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8AB"/>
    <w:rsid w:val="00CA6D13"/>
    <w:rsid w:val="00CA6D2F"/>
    <w:rsid w:val="00CA6D3D"/>
    <w:rsid w:val="00CA6D52"/>
    <w:rsid w:val="00CA6E27"/>
    <w:rsid w:val="00CA6F62"/>
    <w:rsid w:val="00CA722D"/>
    <w:rsid w:val="00CA728E"/>
    <w:rsid w:val="00CA766F"/>
    <w:rsid w:val="00CA78D2"/>
    <w:rsid w:val="00CA795E"/>
    <w:rsid w:val="00CA7ABD"/>
    <w:rsid w:val="00CA7BEA"/>
    <w:rsid w:val="00CA7EC6"/>
    <w:rsid w:val="00CB0105"/>
    <w:rsid w:val="00CB0304"/>
    <w:rsid w:val="00CB0922"/>
    <w:rsid w:val="00CB09B9"/>
    <w:rsid w:val="00CB0C33"/>
    <w:rsid w:val="00CB0E1C"/>
    <w:rsid w:val="00CB1694"/>
    <w:rsid w:val="00CB1874"/>
    <w:rsid w:val="00CB1958"/>
    <w:rsid w:val="00CB1DAB"/>
    <w:rsid w:val="00CB1F34"/>
    <w:rsid w:val="00CB2112"/>
    <w:rsid w:val="00CB2122"/>
    <w:rsid w:val="00CB28C5"/>
    <w:rsid w:val="00CB2BEF"/>
    <w:rsid w:val="00CB2D00"/>
    <w:rsid w:val="00CB30E5"/>
    <w:rsid w:val="00CB34FB"/>
    <w:rsid w:val="00CB3A6B"/>
    <w:rsid w:val="00CB3AD0"/>
    <w:rsid w:val="00CB3ADD"/>
    <w:rsid w:val="00CB3BC0"/>
    <w:rsid w:val="00CB41E6"/>
    <w:rsid w:val="00CB439E"/>
    <w:rsid w:val="00CB4AC0"/>
    <w:rsid w:val="00CB4B2B"/>
    <w:rsid w:val="00CB4C4E"/>
    <w:rsid w:val="00CB4F56"/>
    <w:rsid w:val="00CB5230"/>
    <w:rsid w:val="00CB55B0"/>
    <w:rsid w:val="00CB5761"/>
    <w:rsid w:val="00CB6095"/>
    <w:rsid w:val="00CB64A7"/>
    <w:rsid w:val="00CB66AA"/>
    <w:rsid w:val="00CB672C"/>
    <w:rsid w:val="00CB6898"/>
    <w:rsid w:val="00CB6C6F"/>
    <w:rsid w:val="00CB6D62"/>
    <w:rsid w:val="00CB7010"/>
    <w:rsid w:val="00CB72A3"/>
    <w:rsid w:val="00CB74F6"/>
    <w:rsid w:val="00CB75B3"/>
    <w:rsid w:val="00CB7617"/>
    <w:rsid w:val="00CB7676"/>
    <w:rsid w:val="00CB7DA8"/>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1F66"/>
    <w:rsid w:val="00CC2462"/>
    <w:rsid w:val="00CC27FB"/>
    <w:rsid w:val="00CC325A"/>
    <w:rsid w:val="00CC3334"/>
    <w:rsid w:val="00CC36F6"/>
    <w:rsid w:val="00CC3CF3"/>
    <w:rsid w:val="00CC3FC5"/>
    <w:rsid w:val="00CC3FDA"/>
    <w:rsid w:val="00CC47F1"/>
    <w:rsid w:val="00CC4C24"/>
    <w:rsid w:val="00CC4C7F"/>
    <w:rsid w:val="00CC4DDD"/>
    <w:rsid w:val="00CC536B"/>
    <w:rsid w:val="00CC55C1"/>
    <w:rsid w:val="00CC5858"/>
    <w:rsid w:val="00CC5B49"/>
    <w:rsid w:val="00CC646B"/>
    <w:rsid w:val="00CC6749"/>
    <w:rsid w:val="00CC6AE0"/>
    <w:rsid w:val="00CC6FF1"/>
    <w:rsid w:val="00CC700A"/>
    <w:rsid w:val="00CC705D"/>
    <w:rsid w:val="00CC7471"/>
    <w:rsid w:val="00CC74F5"/>
    <w:rsid w:val="00CC75CD"/>
    <w:rsid w:val="00CC7748"/>
    <w:rsid w:val="00CC7A08"/>
    <w:rsid w:val="00CC7D91"/>
    <w:rsid w:val="00CD030A"/>
    <w:rsid w:val="00CD038A"/>
    <w:rsid w:val="00CD0471"/>
    <w:rsid w:val="00CD09C6"/>
    <w:rsid w:val="00CD0B50"/>
    <w:rsid w:val="00CD0C7F"/>
    <w:rsid w:val="00CD0D78"/>
    <w:rsid w:val="00CD0F24"/>
    <w:rsid w:val="00CD0F76"/>
    <w:rsid w:val="00CD141F"/>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4ED4"/>
    <w:rsid w:val="00CD5384"/>
    <w:rsid w:val="00CD5504"/>
    <w:rsid w:val="00CD558E"/>
    <w:rsid w:val="00CD572D"/>
    <w:rsid w:val="00CD577A"/>
    <w:rsid w:val="00CD594A"/>
    <w:rsid w:val="00CD5A74"/>
    <w:rsid w:val="00CD5D18"/>
    <w:rsid w:val="00CD5E5A"/>
    <w:rsid w:val="00CD5E8A"/>
    <w:rsid w:val="00CD6049"/>
    <w:rsid w:val="00CD6482"/>
    <w:rsid w:val="00CD69BB"/>
    <w:rsid w:val="00CD6B76"/>
    <w:rsid w:val="00CD6D6F"/>
    <w:rsid w:val="00CD7107"/>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612"/>
    <w:rsid w:val="00CE2C7B"/>
    <w:rsid w:val="00CE2FE2"/>
    <w:rsid w:val="00CE33C9"/>
    <w:rsid w:val="00CE3686"/>
    <w:rsid w:val="00CE3EFA"/>
    <w:rsid w:val="00CE4275"/>
    <w:rsid w:val="00CE42AE"/>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1E74"/>
    <w:rsid w:val="00CF1F85"/>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128"/>
    <w:rsid w:val="00CF6498"/>
    <w:rsid w:val="00CF654D"/>
    <w:rsid w:val="00CF67B0"/>
    <w:rsid w:val="00CF6F3E"/>
    <w:rsid w:val="00CF7892"/>
    <w:rsid w:val="00CF7AAC"/>
    <w:rsid w:val="00CF7D9E"/>
    <w:rsid w:val="00D00021"/>
    <w:rsid w:val="00D0045F"/>
    <w:rsid w:val="00D00645"/>
    <w:rsid w:val="00D00A5C"/>
    <w:rsid w:val="00D01029"/>
    <w:rsid w:val="00D0120C"/>
    <w:rsid w:val="00D01363"/>
    <w:rsid w:val="00D01473"/>
    <w:rsid w:val="00D014F5"/>
    <w:rsid w:val="00D01625"/>
    <w:rsid w:val="00D0173C"/>
    <w:rsid w:val="00D0185E"/>
    <w:rsid w:val="00D0198C"/>
    <w:rsid w:val="00D01AC3"/>
    <w:rsid w:val="00D01B70"/>
    <w:rsid w:val="00D01B83"/>
    <w:rsid w:val="00D01B96"/>
    <w:rsid w:val="00D01BF0"/>
    <w:rsid w:val="00D01C0F"/>
    <w:rsid w:val="00D02073"/>
    <w:rsid w:val="00D020E2"/>
    <w:rsid w:val="00D0235A"/>
    <w:rsid w:val="00D025A6"/>
    <w:rsid w:val="00D02B09"/>
    <w:rsid w:val="00D02C28"/>
    <w:rsid w:val="00D02F9D"/>
    <w:rsid w:val="00D03130"/>
    <w:rsid w:val="00D03416"/>
    <w:rsid w:val="00D03519"/>
    <w:rsid w:val="00D039FD"/>
    <w:rsid w:val="00D03AD2"/>
    <w:rsid w:val="00D03B24"/>
    <w:rsid w:val="00D03CEE"/>
    <w:rsid w:val="00D0405E"/>
    <w:rsid w:val="00D0412E"/>
    <w:rsid w:val="00D04B10"/>
    <w:rsid w:val="00D04D6F"/>
    <w:rsid w:val="00D04E19"/>
    <w:rsid w:val="00D04FBA"/>
    <w:rsid w:val="00D052CF"/>
    <w:rsid w:val="00D0549A"/>
    <w:rsid w:val="00D05571"/>
    <w:rsid w:val="00D058E2"/>
    <w:rsid w:val="00D05B3E"/>
    <w:rsid w:val="00D05CC2"/>
    <w:rsid w:val="00D05D66"/>
    <w:rsid w:val="00D05DE4"/>
    <w:rsid w:val="00D0604F"/>
    <w:rsid w:val="00D062FB"/>
    <w:rsid w:val="00D06386"/>
    <w:rsid w:val="00D067BB"/>
    <w:rsid w:val="00D06852"/>
    <w:rsid w:val="00D0695E"/>
    <w:rsid w:val="00D069F6"/>
    <w:rsid w:val="00D06B5B"/>
    <w:rsid w:val="00D06C3B"/>
    <w:rsid w:val="00D06E70"/>
    <w:rsid w:val="00D06E98"/>
    <w:rsid w:val="00D06F9D"/>
    <w:rsid w:val="00D070D2"/>
    <w:rsid w:val="00D072D6"/>
    <w:rsid w:val="00D07356"/>
    <w:rsid w:val="00D073FF"/>
    <w:rsid w:val="00D1002C"/>
    <w:rsid w:val="00D100D9"/>
    <w:rsid w:val="00D10738"/>
    <w:rsid w:val="00D10A06"/>
    <w:rsid w:val="00D115E0"/>
    <w:rsid w:val="00D117E3"/>
    <w:rsid w:val="00D11D7F"/>
    <w:rsid w:val="00D11F92"/>
    <w:rsid w:val="00D121A3"/>
    <w:rsid w:val="00D12522"/>
    <w:rsid w:val="00D1272D"/>
    <w:rsid w:val="00D12931"/>
    <w:rsid w:val="00D12C46"/>
    <w:rsid w:val="00D12CD2"/>
    <w:rsid w:val="00D12FFA"/>
    <w:rsid w:val="00D13744"/>
    <w:rsid w:val="00D139F0"/>
    <w:rsid w:val="00D13C5E"/>
    <w:rsid w:val="00D141BD"/>
    <w:rsid w:val="00D1496A"/>
    <w:rsid w:val="00D15529"/>
    <w:rsid w:val="00D159EA"/>
    <w:rsid w:val="00D15C5B"/>
    <w:rsid w:val="00D15F52"/>
    <w:rsid w:val="00D16088"/>
    <w:rsid w:val="00D16136"/>
    <w:rsid w:val="00D162F7"/>
    <w:rsid w:val="00D1699E"/>
    <w:rsid w:val="00D16A2A"/>
    <w:rsid w:val="00D1713B"/>
    <w:rsid w:val="00D17540"/>
    <w:rsid w:val="00D175FD"/>
    <w:rsid w:val="00D17618"/>
    <w:rsid w:val="00D1764E"/>
    <w:rsid w:val="00D1770D"/>
    <w:rsid w:val="00D17A23"/>
    <w:rsid w:val="00D17A70"/>
    <w:rsid w:val="00D17A71"/>
    <w:rsid w:val="00D17CA3"/>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6E9"/>
    <w:rsid w:val="00D22863"/>
    <w:rsid w:val="00D22958"/>
    <w:rsid w:val="00D229A8"/>
    <w:rsid w:val="00D22A50"/>
    <w:rsid w:val="00D22F60"/>
    <w:rsid w:val="00D23007"/>
    <w:rsid w:val="00D2306F"/>
    <w:rsid w:val="00D230A8"/>
    <w:rsid w:val="00D232FD"/>
    <w:rsid w:val="00D2337B"/>
    <w:rsid w:val="00D2387D"/>
    <w:rsid w:val="00D23969"/>
    <w:rsid w:val="00D23AA3"/>
    <w:rsid w:val="00D23DEF"/>
    <w:rsid w:val="00D23F3D"/>
    <w:rsid w:val="00D24420"/>
    <w:rsid w:val="00D2487E"/>
    <w:rsid w:val="00D24988"/>
    <w:rsid w:val="00D24B65"/>
    <w:rsid w:val="00D24D7B"/>
    <w:rsid w:val="00D24E51"/>
    <w:rsid w:val="00D252ED"/>
    <w:rsid w:val="00D25401"/>
    <w:rsid w:val="00D25BDE"/>
    <w:rsid w:val="00D25CF0"/>
    <w:rsid w:val="00D26115"/>
    <w:rsid w:val="00D2631C"/>
    <w:rsid w:val="00D26663"/>
    <w:rsid w:val="00D26890"/>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836"/>
    <w:rsid w:val="00D30A4D"/>
    <w:rsid w:val="00D30B25"/>
    <w:rsid w:val="00D30D28"/>
    <w:rsid w:val="00D3158A"/>
    <w:rsid w:val="00D3162E"/>
    <w:rsid w:val="00D317C7"/>
    <w:rsid w:val="00D3180D"/>
    <w:rsid w:val="00D3205F"/>
    <w:rsid w:val="00D3257F"/>
    <w:rsid w:val="00D32864"/>
    <w:rsid w:val="00D328AB"/>
    <w:rsid w:val="00D32B20"/>
    <w:rsid w:val="00D32B3C"/>
    <w:rsid w:val="00D32EC2"/>
    <w:rsid w:val="00D32F0F"/>
    <w:rsid w:val="00D32F9E"/>
    <w:rsid w:val="00D3311D"/>
    <w:rsid w:val="00D33139"/>
    <w:rsid w:val="00D33435"/>
    <w:rsid w:val="00D336F2"/>
    <w:rsid w:val="00D33821"/>
    <w:rsid w:val="00D33D98"/>
    <w:rsid w:val="00D33F11"/>
    <w:rsid w:val="00D3421F"/>
    <w:rsid w:val="00D34225"/>
    <w:rsid w:val="00D3427F"/>
    <w:rsid w:val="00D342EF"/>
    <w:rsid w:val="00D343C8"/>
    <w:rsid w:val="00D34602"/>
    <w:rsid w:val="00D34D45"/>
    <w:rsid w:val="00D34FD3"/>
    <w:rsid w:val="00D3533A"/>
    <w:rsid w:val="00D353FD"/>
    <w:rsid w:val="00D35848"/>
    <w:rsid w:val="00D35D5F"/>
    <w:rsid w:val="00D360B4"/>
    <w:rsid w:val="00D36845"/>
    <w:rsid w:val="00D3690F"/>
    <w:rsid w:val="00D369B5"/>
    <w:rsid w:val="00D36B50"/>
    <w:rsid w:val="00D36FF1"/>
    <w:rsid w:val="00D371A8"/>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36A"/>
    <w:rsid w:val="00D424EC"/>
    <w:rsid w:val="00D4259E"/>
    <w:rsid w:val="00D425A9"/>
    <w:rsid w:val="00D4265A"/>
    <w:rsid w:val="00D4272C"/>
    <w:rsid w:val="00D4280F"/>
    <w:rsid w:val="00D42D1B"/>
    <w:rsid w:val="00D42F28"/>
    <w:rsid w:val="00D4321B"/>
    <w:rsid w:val="00D43279"/>
    <w:rsid w:val="00D435B0"/>
    <w:rsid w:val="00D4394A"/>
    <w:rsid w:val="00D43BB4"/>
    <w:rsid w:val="00D43F38"/>
    <w:rsid w:val="00D43FDE"/>
    <w:rsid w:val="00D440FD"/>
    <w:rsid w:val="00D442CE"/>
    <w:rsid w:val="00D444F2"/>
    <w:rsid w:val="00D449E4"/>
    <w:rsid w:val="00D4511A"/>
    <w:rsid w:val="00D451B1"/>
    <w:rsid w:val="00D4525A"/>
    <w:rsid w:val="00D45290"/>
    <w:rsid w:val="00D45736"/>
    <w:rsid w:val="00D45781"/>
    <w:rsid w:val="00D45AB1"/>
    <w:rsid w:val="00D45B28"/>
    <w:rsid w:val="00D4621E"/>
    <w:rsid w:val="00D4623B"/>
    <w:rsid w:val="00D46ADD"/>
    <w:rsid w:val="00D46BFB"/>
    <w:rsid w:val="00D46F55"/>
    <w:rsid w:val="00D46F86"/>
    <w:rsid w:val="00D47161"/>
    <w:rsid w:val="00D47328"/>
    <w:rsid w:val="00D478A3"/>
    <w:rsid w:val="00D47DE3"/>
    <w:rsid w:val="00D47DEC"/>
    <w:rsid w:val="00D47E35"/>
    <w:rsid w:val="00D47F1D"/>
    <w:rsid w:val="00D50141"/>
    <w:rsid w:val="00D5028C"/>
    <w:rsid w:val="00D509A1"/>
    <w:rsid w:val="00D50A54"/>
    <w:rsid w:val="00D50B56"/>
    <w:rsid w:val="00D50FF9"/>
    <w:rsid w:val="00D5126C"/>
    <w:rsid w:val="00D5170E"/>
    <w:rsid w:val="00D51A6E"/>
    <w:rsid w:val="00D51E70"/>
    <w:rsid w:val="00D52680"/>
    <w:rsid w:val="00D5295B"/>
    <w:rsid w:val="00D536DC"/>
    <w:rsid w:val="00D536F1"/>
    <w:rsid w:val="00D54108"/>
    <w:rsid w:val="00D5436C"/>
    <w:rsid w:val="00D54391"/>
    <w:rsid w:val="00D54747"/>
    <w:rsid w:val="00D547F2"/>
    <w:rsid w:val="00D54833"/>
    <w:rsid w:val="00D549F4"/>
    <w:rsid w:val="00D54D08"/>
    <w:rsid w:val="00D5535C"/>
    <w:rsid w:val="00D5541B"/>
    <w:rsid w:val="00D5564A"/>
    <w:rsid w:val="00D55683"/>
    <w:rsid w:val="00D55AFA"/>
    <w:rsid w:val="00D5613E"/>
    <w:rsid w:val="00D56396"/>
    <w:rsid w:val="00D56460"/>
    <w:rsid w:val="00D566EE"/>
    <w:rsid w:val="00D56B1B"/>
    <w:rsid w:val="00D5710F"/>
    <w:rsid w:val="00D5740A"/>
    <w:rsid w:val="00D5753B"/>
    <w:rsid w:val="00D57547"/>
    <w:rsid w:val="00D5757A"/>
    <w:rsid w:val="00D57A15"/>
    <w:rsid w:val="00D57AD9"/>
    <w:rsid w:val="00D57E19"/>
    <w:rsid w:val="00D57FDA"/>
    <w:rsid w:val="00D60464"/>
    <w:rsid w:val="00D60654"/>
    <w:rsid w:val="00D60A0E"/>
    <w:rsid w:val="00D60A11"/>
    <w:rsid w:val="00D60FF7"/>
    <w:rsid w:val="00D610C8"/>
    <w:rsid w:val="00D6199C"/>
    <w:rsid w:val="00D61D90"/>
    <w:rsid w:val="00D61DBA"/>
    <w:rsid w:val="00D61FA1"/>
    <w:rsid w:val="00D622B9"/>
    <w:rsid w:val="00D62899"/>
    <w:rsid w:val="00D62BF3"/>
    <w:rsid w:val="00D62C8E"/>
    <w:rsid w:val="00D637D4"/>
    <w:rsid w:val="00D638BE"/>
    <w:rsid w:val="00D63C28"/>
    <w:rsid w:val="00D63C8F"/>
    <w:rsid w:val="00D63FDA"/>
    <w:rsid w:val="00D640D1"/>
    <w:rsid w:val="00D6485A"/>
    <w:rsid w:val="00D6492E"/>
    <w:rsid w:val="00D64CEA"/>
    <w:rsid w:val="00D64DA8"/>
    <w:rsid w:val="00D64EBB"/>
    <w:rsid w:val="00D65088"/>
    <w:rsid w:val="00D651F3"/>
    <w:rsid w:val="00D652C9"/>
    <w:rsid w:val="00D6555C"/>
    <w:rsid w:val="00D65828"/>
    <w:rsid w:val="00D65907"/>
    <w:rsid w:val="00D659AF"/>
    <w:rsid w:val="00D66395"/>
    <w:rsid w:val="00D66480"/>
    <w:rsid w:val="00D664AE"/>
    <w:rsid w:val="00D669D8"/>
    <w:rsid w:val="00D66CB7"/>
    <w:rsid w:val="00D671D8"/>
    <w:rsid w:val="00D6737F"/>
    <w:rsid w:val="00D6781E"/>
    <w:rsid w:val="00D67A31"/>
    <w:rsid w:val="00D67F92"/>
    <w:rsid w:val="00D702CB"/>
    <w:rsid w:val="00D704F1"/>
    <w:rsid w:val="00D70AF0"/>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2DF"/>
    <w:rsid w:val="00D73646"/>
    <w:rsid w:val="00D736ED"/>
    <w:rsid w:val="00D73829"/>
    <w:rsid w:val="00D73853"/>
    <w:rsid w:val="00D73885"/>
    <w:rsid w:val="00D73A1F"/>
    <w:rsid w:val="00D73C5C"/>
    <w:rsid w:val="00D73E16"/>
    <w:rsid w:val="00D7407B"/>
    <w:rsid w:val="00D742F4"/>
    <w:rsid w:val="00D74437"/>
    <w:rsid w:val="00D748BF"/>
    <w:rsid w:val="00D749EB"/>
    <w:rsid w:val="00D74D21"/>
    <w:rsid w:val="00D74F1B"/>
    <w:rsid w:val="00D75471"/>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E8D"/>
    <w:rsid w:val="00D8101C"/>
    <w:rsid w:val="00D81022"/>
    <w:rsid w:val="00D8103A"/>
    <w:rsid w:val="00D81067"/>
    <w:rsid w:val="00D81242"/>
    <w:rsid w:val="00D812B7"/>
    <w:rsid w:val="00D8147C"/>
    <w:rsid w:val="00D81771"/>
    <w:rsid w:val="00D81AF1"/>
    <w:rsid w:val="00D822B7"/>
    <w:rsid w:val="00D82442"/>
    <w:rsid w:val="00D82589"/>
    <w:rsid w:val="00D8280C"/>
    <w:rsid w:val="00D8293E"/>
    <w:rsid w:val="00D8298A"/>
    <w:rsid w:val="00D82E00"/>
    <w:rsid w:val="00D83208"/>
    <w:rsid w:val="00D8356B"/>
    <w:rsid w:val="00D837F3"/>
    <w:rsid w:val="00D83A6E"/>
    <w:rsid w:val="00D84216"/>
    <w:rsid w:val="00D8432C"/>
    <w:rsid w:val="00D843F9"/>
    <w:rsid w:val="00D846BE"/>
    <w:rsid w:val="00D84979"/>
    <w:rsid w:val="00D84B9B"/>
    <w:rsid w:val="00D84D15"/>
    <w:rsid w:val="00D84F20"/>
    <w:rsid w:val="00D851F4"/>
    <w:rsid w:val="00D852AF"/>
    <w:rsid w:val="00D85907"/>
    <w:rsid w:val="00D85BB3"/>
    <w:rsid w:val="00D85DE0"/>
    <w:rsid w:val="00D85E62"/>
    <w:rsid w:val="00D85EFC"/>
    <w:rsid w:val="00D85FA9"/>
    <w:rsid w:val="00D860FA"/>
    <w:rsid w:val="00D86455"/>
    <w:rsid w:val="00D864FE"/>
    <w:rsid w:val="00D866A4"/>
    <w:rsid w:val="00D86B5C"/>
    <w:rsid w:val="00D86C34"/>
    <w:rsid w:val="00D86F11"/>
    <w:rsid w:val="00D8705B"/>
    <w:rsid w:val="00D870BF"/>
    <w:rsid w:val="00D8734C"/>
    <w:rsid w:val="00D87615"/>
    <w:rsid w:val="00D878B8"/>
    <w:rsid w:val="00D87956"/>
    <w:rsid w:val="00D87BE7"/>
    <w:rsid w:val="00D902DC"/>
    <w:rsid w:val="00D90341"/>
    <w:rsid w:val="00D903D8"/>
    <w:rsid w:val="00D90531"/>
    <w:rsid w:val="00D9062D"/>
    <w:rsid w:val="00D907DA"/>
    <w:rsid w:val="00D90CFD"/>
    <w:rsid w:val="00D914B8"/>
    <w:rsid w:val="00D9159B"/>
    <w:rsid w:val="00D915BF"/>
    <w:rsid w:val="00D91754"/>
    <w:rsid w:val="00D91B68"/>
    <w:rsid w:val="00D91C38"/>
    <w:rsid w:val="00D91D11"/>
    <w:rsid w:val="00D91F32"/>
    <w:rsid w:val="00D920C4"/>
    <w:rsid w:val="00D923A9"/>
    <w:rsid w:val="00D92571"/>
    <w:rsid w:val="00D92954"/>
    <w:rsid w:val="00D929AB"/>
    <w:rsid w:val="00D92A8A"/>
    <w:rsid w:val="00D92FA9"/>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02"/>
    <w:rsid w:val="00D96880"/>
    <w:rsid w:val="00D969A8"/>
    <w:rsid w:val="00D96A22"/>
    <w:rsid w:val="00D96C7A"/>
    <w:rsid w:val="00D9728C"/>
    <w:rsid w:val="00D97657"/>
    <w:rsid w:val="00D9773F"/>
    <w:rsid w:val="00D979FB"/>
    <w:rsid w:val="00D97A5F"/>
    <w:rsid w:val="00D97A93"/>
    <w:rsid w:val="00D97A99"/>
    <w:rsid w:val="00D97C25"/>
    <w:rsid w:val="00D97C78"/>
    <w:rsid w:val="00D97D66"/>
    <w:rsid w:val="00D97DB4"/>
    <w:rsid w:val="00DA046C"/>
    <w:rsid w:val="00DA064C"/>
    <w:rsid w:val="00DA078A"/>
    <w:rsid w:val="00DA0C2C"/>
    <w:rsid w:val="00DA0D89"/>
    <w:rsid w:val="00DA0F32"/>
    <w:rsid w:val="00DA14BE"/>
    <w:rsid w:val="00DA154E"/>
    <w:rsid w:val="00DA1818"/>
    <w:rsid w:val="00DA19ED"/>
    <w:rsid w:val="00DA1D7F"/>
    <w:rsid w:val="00DA1F6F"/>
    <w:rsid w:val="00DA2010"/>
    <w:rsid w:val="00DA249A"/>
    <w:rsid w:val="00DA26A7"/>
    <w:rsid w:val="00DA2A6A"/>
    <w:rsid w:val="00DA2AB6"/>
    <w:rsid w:val="00DA2AF5"/>
    <w:rsid w:val="00DA2E73"/>
    <w:rsid w:val="00DA3059"/>
    <w:rsid w:val="00DA32E5"/>
    <w:rsid w:val="00DA331E"/>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4F"/>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EE2"/>
    <w:rsid w:val="00DB5FD7"/>
    <w:rsid w:val="00DB6098"/>
    <w:rsid w:val="00DB63E1"/>
    <w:rsid w:val="00DB6537"/>
    <w:rsid w:val="00DB68A2"/>
    <w:rsid w:val="00DB6989"/>
    <w:rsid w:val="00DB6D81"/>
    <w:rsid w:val="00DB6E5F"/>
    <w:rsid w:val="00DB6FBD"/>
    <w:rsid w:val="00DB70E9"/>
    <w:rsid w:val="00DB722E"/>
    <w:rsid w:val="00DB76A9"/>
    <w:rsid w:val="00DB79AA"/>
    <w:rsid w:val="00DC03E8"/>
    <w:rsid w:val="00DC0483"/>
    <w:rsid w:val="00DC074A"/>
    <w:rsid w:val="00DC0837"/>
    <w:rsid w:val="00DC0B71"/>
    <w:rsid w:val="00DC0CBE"/>
    <w:rsid w:val="00DC110A"/>
    <w:rsid w:val="00DC1223"/>
    <w:rsid w:val="00DC13F2"/>
    <w:rsid w:val="00DC146C"/>
    <w:rsid w:val="00DC16D8"/>
    <w:rsid w:val="00DC19E1"/>
    <w:rsid w:val="00DC1CD6"/>
    <w:rsid w:val="00DC1DF7"/>
    <w:rsid w:val="00DC1FB2"/>
    <w:rsid w:val="00DC233A"/>
    <w:rsid w:val="00DC2636"/>
    <w:rsid w:val="00DC2919"/>
    <w:rsid w:val="00DC296D"/>
    <w:rsid w:val="00DC299B"/>
    <w:rsid w:val="00DC2C38"/>
    <w:rsid w:val="00DC3787"/>
    <w:rsid w:val="00DC3934"/>
    <w:rsid w:val="00DC3FA4"/>
    <w:rsid w:val="00DC4273"/>
    <w:rsid w:val="00DC4594"/>
    <w:rsid w:val="00DC46D3"/>
    <w:rsid w:val="00DC5439"/>
    <w:rsid w:val="00DC5794"/>
    <w:rsid w:val="00DC58D7"/>
    <w:rsid w:val="00DC592B"/>
    <w:rsid w:val="00DC5AB5"/>
    <w:rsid w:val="00DC5CA5"/>
    <w:rsid w:val="00DC5D4F"/>
    <w:rsid w:val="00DC5FF2"/>
    <w:rsid w:val="00DC6004"/>
    <w:rsid w:val="00DC625D"/>
    <w:rsid w:val="00DC62C4"/>
    <w:rsid w:val="00DC6457"/>
    <w:rsid w:val="00DC686E"/>
    <w:rsid w:val="00DC6C98"/>
    <w:rsid w:val="00DC6D86"/>
    <w:rsid w:val="00DC73F7"/>
    <w:rsid w:val="00DC7493"/>
    <w:rsid w:val="00DC77E2"/>
    <w:rsid w:val="00DC7836"/>
    <w:rsid w:val="00DC7D07"/>
    <w:rsid w:val="00DC7F11"/>
    <w:rsid w:val="00DD00F5"/>
    <w:rsid w:val="00DD0134"/>
    <w:rsid w:val="00DD0276"/>
    <w:rsid w:val="00DD0442"/>
    <w:rsid w:val="00DD075A"/>
    <w:rsid w:val="00DD0823"/>
    <w:rsid w:val="00DD0E7E"/>
    <w:rsid w:val="00DD1008"/>
    <w:rsid w:val="00DD14C4"/>
    <w:rsid w:val="00DD14C6"/>
    <w:rsid w:val="00DD14D2"/>
    <w:rsid w:val="00DD1602"/>
    <w:rsid w:val="00DD164C"/>
    <w:rsid w:val="00DD16BF"/>
    <w:rsid w:val="00DD1DB2"/>
    <w:rsid w:val="00DD2264"/>
    <w:rsid w:val="00DD2394"/>
    <w:rsid w:val="00DD24B8"/>
    <w:rsid w:val="00DD258D"/>
    <w:rsid w:val="00DD263D"/>
    <w:rsid w:val="00DD27B0"/>
    <w:rsid w:val="00DD2B68"/>
    <w:rsid w:val="00DD2D3B"/>
    <w:rsid w:val="00DD3411"/>
    <w:rsid w:val="00DD3696"/>
    <w:rsid w:val="00DD372E"/>
    <w:rsid w:val="00DD3789"/>
    <w:rsid w:val="00DD3B08"/>
    <w:rsid w:val="00DD3BC4"/>
    <w:rsid w:val="00DD3DAD"/>
    <w:rsid w:val="00DD3F7E"/>
    <w:rsid w:val="00DD408F"/>
    <w:rsid w:val="00DD4477"/>
    <w:rsid w:val="00DD45D0"/>
    <w:rsid w:val="00DD4711"/>
    <w:rsid w:val="00DD479E"/>
    <w:rsid w:val="00DD50B9"/>
    <w:rsid w:val="00DD535A"/>
    <w:rsid w:val="00DD580F"/>
    <w:rsid w:val="00DD5A73"/>
    <w:rsid w:val="00DD5D12"/>
    <w:rsid w:val="00DD605E"/>
    <w:rsid w:val="00DD620C"/>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B2C"/>
    <w:rsid w:val="00DE1CBB"/>
    <w:rsid w:val="00DE1F9A"/>
    <w:rsid w:val="00DE2373"/>
    <w:rsid w:val="00DE26A2"/>
    <w:rsid w:val="00DE2747"/>
    <w:rsid w:val="00DE2786"/>
    <w:rsid w:val="00DE2A67"/>
    <w:rsid w:val="00DE2AA6"/>
    <w:rsid w:val="00DE2E6E"/>
    <w:rsid w:val="00DE31E8"/>
    <w:rsid w:val="00DE3599"/>
    <w:rsid w:val="00DE3616"/>
    <w:rsid w:val="00DE3A26"/>
    <w:rsid w:val="00DE3C0C"/>
    <w:rsid w:val="00DE3D9E"/>
    <w:rsid w:val="00DE3E39"/>
    <w:rsid w:val="00DE40C1"/>
    <w:rsid w:val="00DE40D7"/>
    <w:rsid w:val="00DE4390"/>
    <w:rsid w:val="00DE4427"/>
    <w:rsid w:val="00DE4472"/>
    <w:rsid w:val="00DE478C"/>
    <w:rsid w:val="00DE491A"/>
    <w:rsid w:val="00DE4D32"/>
    <w:rsid w:val="00DE54C6"/>
    <w:rsid w:val="00DE54D8"/>
    <w:rsid w:val="00DE5603"/>
    <w:rsid w:val="00DE57EB"/>
    <w:rsid w:val="00DE58F9"/>
    <w:rsid w:val="00DE5D16"/>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596"/>
    <w:rsid w:val="00DF1866"/>
    <w:rsid w:val="00DF1E16"/>
    <w:rsid w:val="00DF1EE5"/>
    <w:rsid w:val="00DF205F"/>
    <w:rsid w:val="00DF2412"/>
    <w:rsid w:val="00DF2432"/>
    <w:rsid w:val="00DF2509"/>
    <w:rsid w:val="00DF26F9"/>
    <w:rsid w:val="00DF298B"/>
    <w:rsid w:val="00DF2999"/>
    <w:rsid w:val="00DF2AF8"/>
    <w:rsid w:val="00DF2C93"/>
    <w:rsid w:val="00DF2F86"/>
    <w:rsid w:val="00DF33E0"/>
    <w:rsid w:val="00DF38A7"/>
    <w:rsid w:val="00DF3E4F"/>
    <w:rsid w:val="00DF407A"/>
    <w:rsid w:val="00DF42D0"/>
    <w:rsid w:val="00DF4457"/>
    <w:rsid w:val="00DF4692"/>
    <w:rsid w:val="00DF473B"/>
    <w:rsid w:val="00DF488D"/>
    <w:rsid w:val="00DF48C1"/>
    <w:rsid w:val="00DF51B3"/>
    <w:rsid w:val="00DF531E"/>
    <w:rsid w:val="00DF56F4"/>
    <w:rsid w:val="00DF583D"/>
    <w:rsid w:val="00DF5972"/>
    <w:rsid w:val="00DF6214"/>
    <w:rsid w:val="00DF62C1"/>
    <w:rsid w:val="00DF6AB3"/>
    <w:rsid w:val="00DF6B1F"/>
    <w:rsid w:val="00DF6B32"/>
    <w:rsid w:val="00DF6DA5"/>
    <w:rsid w:val="00DF71C1"/>
    <w:rsid w:val="00DF76C1"/>
    <w:rsid w:val="00DF7713"/>
    <w:rsid w:val="00DF7955"/>
    <w:rsid w:val="00DF7AB4"/>
    <w:rsid w:val="00DF7BA0"/>
    <w:rsid w:val="00E0042D"/>
    <w:rsid w:val="00E0064C"/>
    <w:rsid w:val="00E0089E"/>
    <w:rsid w:val="00E00C5C"/>
    <w:rsid w:val="00E00E3F"/>
    <w:rsid w:val="00E00EB6"/>
    <w:rsid w:val="00E01404"/>
    <w:rsid w:val="00E0153C"/>
    <w:rsid w:val="00E016F8"/>
    <w:rsid w:val="00E01799"/>
    <w:rsid w:val="00E01D02"/>
    <w:rsid w:val="00E02071"/>
    <w:rsid w:val="00E021AB"/>
    <w:rsid w:val="00E02773"/>
    <w:rsid w:val="00E02AF6"/>
    <w:rsid w:val="00E02AFD"/>
    <w:rsid w:val="00E0370C"/>
    <w:rsid w:val="00E0392B"/>
    <w:rsid w:val="00E03BFC"/>
    <w:rsid w:val="00E03C0B"/>
    <w:rsid w:val="00E03CA1"/>
    <w:rsid w:val="00E03E45"/>
    <w:rsid w:val="00E03F50"/>
    <w:rsid w:val="00E0406D"/>
    <w:rsid w:val="00E0431F"/>
    <w:rsid w:val="00E045F7"/>
    <w:rsid w:val="00E04801"/>
    <w:rsid w:val="00E04E06"/>
    <w:rsid w:val="00E04FF3"/>
    <w:rsid w:val="00E051FA"/>
    <w:rsid w:val="00E05465"/>
    <w:rsid w:val="00E05798"/>
    <w:rsid w:val="00E057AA"/>
    <w:rsid w:val="00E05815"/>
    <w:rsid w:val="00E0588E"/>
    <w:rsid w:val="00E05DCF"/>
    <w:rsid w:val="00E05EDF"/>
    <w:rsid w:val="00E05F8E"/>
    <w:rsid w:val="00E0663E"/>
    <w:rsid w:val="00E067C1"/>
    <w:rsid w:val="00E069E0"/>
    <w:rsid w:val="00E071AA"/>
    <w:rsid w:val="00E071EB"/>
    <w:rsid w:val="00E0737C"/>
    <w:rsid w:val="00E074F2"/>
    <w:rsid w:val="00E07605"/>
    <w:rsid w:val="00E07769"/>
    <w:rsid w:val="00E07CBC"/>
    <w:rsid w:val="00E07D35"/>
    <w:rsid w:val="00E07EA6"/>
    <w:rsid w:val="00E1010A"/>
    <w:rsid w:val="00E10285"/>
    <w:rsid w:val="00E1038D"/>
    <w:rsid w:val="00E10863"/>
    <w:rsid w:val="00E108C5"/>
    <w:rsid w:val="00E10BC1"/>
    <w:rsid w:val="00E10FD6"/>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A8B"/>
    <w:rsid w:val="00E13B98"/>
    <w:rsid w:val="00E13C3F"/>
    <w:rsid w:val="00E13D0B"/>
    <w:rsid w:val="00E13FD7"/>
    <w:rsid w:val="00E13FE2"/>
    <w:rsid w:val="00E140E1"/>
    <w:rsid w:val="00E1446D"/>
    <w:rsid w:val="00E148EB"/>
    <w:rsid w:val="00E149FF"/>
    <w:rsid w:val="00E14AE8"/>
    <w:rsid w:val="00E15043"/>
    <w:rsid w:val="00E1513B"/>
    <w:rsid w:val="00E15237"/>
    <w:rsid w:val="00E15575"/>
    <w:rsid w:val="00E15622"/>
    <w:rsid w:val="00E15868"/>
    <w:rsid w:val="00E164AB"/>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D93"/>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7E9"/>
    <w:rsid w:val="00E30F98"/>
    <w:rsid w:val="00E30FF3"/>
    <w:rsid w:val="00E310DD"/>
    <w:rsid w:val="00E31238"/>
    <w:rsid w:val="00E31406"/>
    <w:rsid w:val="00E314C4"/>
    <w:rsid w:val="00E315E4"/>
    <w:rsid w:val="00E316B8"/>
    <w:rsid w:val="00E31972"/>
    <w:rsid w:val="00E31A02"/>
    <w:rsid w:val="00E31A50"/>
    <w:rsid w:val="00E31DDE"/>
    <w:rsid w:val="00E320C5"/>
    <w:rsid w:val="00E32285"/>
    <w:rsid w:val="00E326F4"/>
    <w:rsid w:val="00E32745"/>
    <w:rsid w:val="00E32E9F"/>
    <w:rsid w:val="00E32F9C"/>
    <w:rsid w:val="00E3300E"/>
    <w:rsid w:val="00E33178"/>
    <w:rsid w:val="00E3320D"/>
    <w:rsid w:val="00E332FF"/>
    <w:rsid w:val="00E3364F"/>
    <w:rsid w:val="00E33892"/>
    <w:rsid w:val="00E338EA"/>
    <w:rsid w:val="00E33AFF"/>
    <w:rsid w:val="00E33DBE"/>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6DCA"/>
    <w:rsid w:val="00E370BC"/>
    <w:rsid w:val="00E371C3"/>
    <w:rsid w:val="00E373AC"/>
    <w:rsid w:val="00E37451"/>
    <w:rsid w:val="00E376BA"/>
    <w:rsid w:val="00E378D3"/>
    <w:rsid w:val="00E37956"/>
    <w:rsid w:val="00E379EB"/>
    <w:rsid w:val="00E4013C"/>
    <w:rsid w:val="00E401F7"/>
    <w:rsid w:val="00E4068F"/>
    <w:rsid w:val="00E40916"/>
    <w:rsid w:val="00E40AF6"/>
    <w:rsid w:val="00E40E63"/>
    <w:rsid w:val="00E411ED"/>
    <w:rsid w:val="00E4127C"/>
    <w:rsid w:val="00E4133D"/>
    <w:rsid w:val="00E41521"/>
    <w:rsid w:val="00E4164B"/>
    <w:rsid w:val="00E416F5"/>
    <w:rsid w:val="00E41ADF"/>
    <w:rsid w:val="00E41FA7"/>
    <w:rsid w:val="00E4312C"/>
    <w:rsid w:val="00E433A4"/>
    <w:rsid w:val="00E43A7D"/>
    <w:rsid w:val="00E43B7E"/>
    <w:rsid w:val="00E443C3"/>
    <w:rsid w:val="00E443E0"/>
    <w:rsid w:val="00E4448C"/>
    <w:rsid w:val="00E445EA"/>
    <w:rsid w:val="00E44902"/>
    <w:rsid w:val="00E44C11"/>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BC5"/>
    <w:rsid w:val="00E50D60"/>
    <w:rsid w:val="00E50EA5"/>
    <w:rsid w:val="00E5148F"/>
    <w:rsid w:val="00E5155A"/>
    <w:rsid w:val="00E51867"/>
    <w:rsid w:val="00E51DB3"/>
    <w:rsid w:val="00E5200A"/>
    <w:rsid w:val="00E523D6"/>
    <w:rsid w:val="00E525D5"/>
    <w:rsid w:val="00E526E5"/>
    <w:rsid w:val="00E52781"/>
    <w:rsid w:val="00E52E11"/>
    <w:rsid w:val="00E52F14"/>
    <w:rsid w:val="00E53229"/>
    <w:rsid w:val="00E532A9"/>
    <w:rsid w:val="00E53878"/>
    <w:rsid w:val="00E539C4"/>
    <w:rsid w:val="00E53BA2"/>
    <w:rsid w:val="00E53D2A"/>
    <w:rsid w:val="00E53F04"/>
    <w:rsid w:val="00E542B9"/>
    <w:rsid w:val="00E5443D"/>
    <w:rsid w:val="00E5454F"/>
    <w:rsid w:val="00E54E54"/>
    <w:rsid w:val="00E55097"/>
    <w:rsid w:val="00E55148"/>
    <w:rsid w:val="00E55541"/>
    <w:rsid w:val="00E5565B"/>
    <w:rsid w:val="00E55F73"/>
    <w:rsid w:val="00E560B5"/>
    <w:rsid w:val="00E568A6"/>
    <w:rsid w:val="00E56E3D"/>
    <w:rsid w:val="00E56EE8"/>
    <w:rsid w:val="00E5741E"/>
    <w:rsid w:val="00E579B2"/>
    <w:rsid w:val="00E57E5E"/>
    <w:rsid w:val="00E601F5"/>
    <w:rsid w:val="00E60264"/>
    <w:rsid w:val="00E607CF"/>
    <w:rsid w:val="00E6092C"/>
    <w:rsid w:val="00E60A9C"/>
    <w:rsid w:val="00E60B1A"/>
    <w:rsid w:val="00E60D46"/>
    <w:rsid w:val="00E60DAC"/>
    <w:rsid w:val="00E60EFA"/>
    <w:rsid w:val="00E61097"/>
    <w:rsid w:val="00E61291"/>
    <w:rsid w:val="00E618CC"/>
    <w:rsid w:val="00E619F3"/>
    <w:rsid w:val="00E620ED"/>
    <w:rsid w:val="00E623DA"/>
    <w:rsid w:val="00E62684"/>
    <w:rsid w:val="00E6305E"/>
    <w:rsid w:val="00E63200"/>
    <w:rsid w:val="00E63385"/>
    <w:rsid w:val="00E633B6"/>
    <w:rsid w:val="00E6355F"/>
    <w:rsid w:val="00E636BC"/>
    <w:rsid w:val="00E6375B"/>
    <w:rsid w:val="00E639F9"/>
    <w:rsid w:val="00E63A46"/>
    <w:rsid w:val="00E63B11"/>
    <w:rsid w:val="00E63DA4"/>
    <w:rsid w:val="00E64000"/>
    <w:rsid w:val="00E64046"/>
    <w:rsid w:val="00E64202"/>
    <w:rsid w:val="00E64359"/>
    <w:rsid w:val="00E64460"/>
    <w:rsid w:val="00E64511"/>
    <w:rsid w:val="00E64768"/>
    <w:rsid w:val="00E647F0"/>
    <w:rsid w:val="00E64930"/>
    <w:rsid w:val="00E64967"/>
    <w:rsid w:val="00E64DAF"/>
    <w:rsid w:val="00E650A9"/>
    <w:rsid w:val="00E653C1"/>
    <w:rsid w:val="00E65E8B"/>
    <w:rsid w:val="00E65F0C"/>
    <w:rsid w:val="00E66180"/>
    <w:rsid w:val="00E664A1"/>
    <w:rsid w:val="00E66619"/>
    <w:rsid w:val="00E66946"/>
    <w:rsid w:val="00E66A22"/>
    <w:rsid w:val="00E66C65"/>
    <w:rsid w:val="00E66F65"/>
    <w:rsid w:val="00E66FEB"/>
    <w:rsid w:val="00E675CB"/>
    <w:rsid w:val="00E677B5"/>
    <w:rsid w:val="00E678AE"/>
    <w:rsid w:val="00E67FF4"/>
    <w:rsid w:val="00E7005A"/>
    <w:rsid w:val="00E702A9"/>
    <w:rsid w:val="00E702D1"/>
    <w:rsid w:val="00E702E9"/>
    <w:rsid w:val="00E70C4A"/>
    <w:rsid w:val="00E71292"/>
    <w:rsid w:val="00E7150C"/>
    <w:rsid w:val="00E71513"/>
    <w:rsid w:val="00E71A79"/>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F70"/>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23"/>
    <w:rsid w:val="00E817ED"/>
    <w:rsid w:val="00E81D98"/>
    <w:rsid w:val="00E820F8"/>
    <w:rsid w:val="00E82644"/>
    <w:rsid w:val="00E82C92"/>
    <w:rsid w:val="00E82F23"/>
    <w:rsid w:val="00E82FE3"/>
    <w:rsid w:val="00E835CA"/>
    <w:rsid w:val="00E837DA"/>
    <w:rsid w:val="00E83B87"/>
    <w:rsid w:val="00E83FA4"/>
    <w:rsid w:val="00E84622"/>
    <w:rsid w:val="00E847A0"/>
    <w:rsid w:val="00E84A73"/>
    <w:rsid w:val="00E84BEC"/>
    <w:rsid w:val="00E8512F"/>
    <w:rsid w:val="00E853AA"/>
    <w:rsid w:val="00E85ADE"/>
    <w:rsid w:val="00E86246"/>
    <w:rsid w:val="00E86350"/>
    <w:rsid w:val="00E863DE"/>
    <w:rsid w:val="00E86463"/>
    <w:rsid w:val="00E8659E"/>
    <w:rsid w:val="00E866AB"/>
    <w:rsid w:val="00E86752"/>
    <w:rsid w:val="00E86959"/>
    <w:rsid w:val="00E86E36"/>
    <w:rsid w:val="00E87577"/>
    <w:rsid w:val="00E87891"/>
    <w:rsid w:val="00E87EEF"/>
    <w:rsid w:val="00E901B8"/>
    <w:rsid w:val="00E91078"/>
    <w:rsid w:val="00E914F4"/>
    <w:rsid w:val="00E91B3A"/>
    <w:rsid w:val="00E91D67"/>
    <w:rsid w:val="00E92603"/>
    <w:rsid w:val="00E927DD"/>
    <w:rsid w:val="00E928A3"/>
    <w:rsid w:val="00E92AE4"/>
    <w:rsid w:val="00E92BFE"/>
    <w:rsid w:val="00E92C65"/>
    <w:rsid w:val="00E92D9C"/>
    <w:rsid w:val="00E932AF"/>
    <w:rsid w:val="00E93352"/>
    <w:rsid w:val="00E936B1"/>
    <w:rsid w:val="00E93DA5"/>
    <w:rsid w:val="00E93FD2"/>
    <w:rsid w:val="00E94099"/>
    <w:rsid w:val="00E94208"/>
    <w:rsid w:val="00E94695"/>
    <w:rsid w:val="00E94A6A"/>
    <w:rsid w:val="00E94A79"/>
    <w:rsid w:val="00E94B05"/>
    <w:rsid w:val="00E95488"/>
    <w:rsid w:val="00E95827"/>
    <w:rsid w:val="00E958DB"/>
    <w:rsid w:val="00E95EB4"/>
    <w:rsid w:val="00E95EF9"/>
    <w:rsid w:val="00E9616D"/>
    <w:rsid w:val="00E96518"/>
    <w:rsid w:val="00E96809"/>
    <w:rsid w:val="00E9681F"/>
    <w:rsid w:val="00E968F7"/>
    <w:rsid w:val="00E97477"/>
    <w:rsid w:val="00E97EC1"/>
    <w:rsid w:val="00EA0294"/>
    <w:rsid w:val="00EA043F"/>
    <w:rsid w:val="00EA05EA"/>
    <w:rsid w:val="00EA07A4"/>
    <w:rsid w:val="00EA099F"/>
    <w:rsid w:val="00EA09B2"/>
    <w:rsid w:val="00EA0A7E"/>
    <w:rsid w:val="00EA0C59"/>
    <w:rsid w:val="00EA0D49"/>
    <w:rsid w:val="00EA0F3D"/>
    <w:rsid w:val="00EA11A6"/>
    <w:rsid w:val="00EA13EF"/>
    <w:rsid w:val="00EA184C"/>
    <w:rsid w:val="00EA1C27"/>
    <w:rsid w:val="00EA1DE1"/>
    <w:rsid w:val="00EA1F99"/>
    <w:rsid w:val="00EA2086"/>
    <w:rsid w:val="00EA26DC"/>
    <w:rsid w:val="00EA275F"/>
    <w:rsid w:val="00EA27D8"/>
    <w:rsid w:val="00EA27E8"/>
    <w:rsid w:val="00EA2ABA"/>
    <w:rsid w:val="00EA2E4D"/>
    <w:rsid w:val="00EA309B"/>
    <w:rsid w:val="00EA3266"/>
    <w:rsid w:val="00EA3359"/>
    <w:rsid w:val="00EA359E"/>
    <w:rsid w:val="00EA3660"/>
    <w:rsid w:val="00EA37F2"/>
    <w:rsid w:val="00EA38CB"/>
    <w:rsid w:val="00EA3AEF"/>
    <w:rsid w:val="00EA3E56"/>
    <w:rsid w:val="00EA412A"/>
    <w:rsid w:val="00EA4178"/>
    <w:rsid w:val="00EA41DB"/>
    <w:rsid w:val="00EA4382"/>
    <w:rsid w:val="00EA48EB"/>
    <w:rsid w:val="00EA4970"/>
    <w:rsid w:val="00EA4C56"/>
    <w:rsid w:val="00EA4EE2"/>
    <w:rsid w:val="00EA512E"/>
    <w:rsid w:val="00EA5522"/>
    <w:rsid w:val="00EA55FA"/>
    <w:rsid w:val="00EA58A5"/>
    <w:rsid w:val="00EA5919"/>
    <w:rsid w:val="00EA5D57"/>
    <w:rsid w:val="00EA5D61"/>
    <w:rsid w:val="00EA5F1A"/>
    <w:rsid w:val="00EA61D3"/>
    <w:rsid w:val="00EA6606"/>
    <w:rsid w:val="00EA67CE"/>
    <w:rsid w:val="00EA6ED2"/>
    <w:rsid w:val="00EA72C6"/>
    <w:rsid w:val="00EA7363"/>
    <w:rsid w:val="00EA7513"/>
    <w:rsid w:val="00EA78FC"/>
    <w:rsid w:val="00EA7B5C"/>
    <w:rsid w:val="00EA7FD0"/>
    <w:rsid w:val="00EB09BF"/>
    <w:rsid w:val="00EB0BD6"/>
    <w:rsid w:val="00EB0C09"/>
    <w:rsid w:val="00EB147A"/>
    <w:rsid w:val="00EB21D9"/>
    <w:rsid w:val="00EB2C65"/>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69B"/>
    <w:rsid w:val="00EB6935"/>
    <w:rsid w:val="00EB69C9"/>
    <w:rsid w:val="00EB69CB"/>
    <w:rsid w:val="00EB6D76"/>
    <w:rsid w:val="00EB73D2"/>
    <w:rsid w:val="00EB774E"/>
    <w:rsid w:val="00EC00F3"/>
    <w:rsid w:val="00EC019C"/>
    <w:rsid w:val="00EC01F2"/>
    <w:rsid w:val="00EC034B"/>
    <w:rsid w:val="00EC0955"/>
    <w:rsid w:val="00EC09F6"/>
    <w:rsid w:val="00EC0BB2"/>
    <w:rsid w:val="00EC1154"/>
    <w:rsid w:val="00EC1216"/>
    <w:rsid w:val="00EC1782"/>
    <w:rsid w:val="00EC1B22"/>
    <w:rsid w:val="00EC2555"/>
    <w:rsid w:val="00EC2CF8"/>
    <w:rsid w:val="00EC2D1B"/>
    <w:rsid w:val="00EC3328"/>
    <w:rsid w:val="00EC34D6"/>
    <w:rsid w:val="00EC3CA7"/>
    <w:rsid w:val="00EC404E"/>
    <w:rsid w:val="00EC4D6C"/>
    <w:rsid w:val="00EC5182"/>
    <w:rsid w:val="00EC5191"/>
    <w:rsid w:val="00EC51B5"/>
    <w:rsid w:val="00EC51FD"/>
    <w:rsid w:val="00EC52AC"/>
    <w:rsid w:val="00EC546B"/>
    <w:rsid w:val="00EC5D47"/>
    <w:rsid w:val="00EC5FDC"/>
    <w:rsid w:val="00EC6055"/>
    <w:rsid w:val="00EC613F"/>
    <w:rsid w:val="00EC6511"/>
    <w:rsid w:val="00EC65EB"/>
    <w:rsid w:val="00EC6E9E"/>
    <w:rsid w:val="00EC6EB4"/>
    <w:rsid w:val="00EC6F80"/>
    <w:rsid w:val="00EC70DE"/>
    <w:rsid w:val="00EC7349"/>
    <w:rsid w:val="00EC7525"/>
    <w:rsid w:val="00EC7ECC"/>
    <w:rsid w:val="00ED022E"/>
    <w:rsid w:val="00ED0384"/>
    <w:rsid w:val="00ED06EE"/>
    <w:rsid w:val="00ED0712"/>
    <w:rsid w:val="00ED0773"/>
    <w:rsid w:val="00ED0936"/>
    <w:rsid w:val="00ED0C84"/>
    <w:rsid w:val="00ED1094"/>
    <w:rsid w:val="00ED1364"/>
    <w:rsid w:val="00ED13FC"/>
    <w:rsid w:val="00ED141D"/>
    <w:rsid w:val="00ED14AA"/>
    <w:rsid w:val="00ED1761"/>
    <w:rsid w:val="00ED17D0"/>
    <w:rsid w:val="00ED1847"/>
    <w:rsid w:val="00ED19FE"/>
    <w:rsid w:val="00ED1D66"/>
    <w:rsid w:val="00ED1ECB"/>
    <w:rsid w:val="00ED20A4"/>
    <w:rsid w:val="00ED2156"/>
    <w:rsid w:val="00ED21C9"/>
    <w:rsid w:val="00ED2EFA"/>
    <w:rsid w:val="00ED2FD1"/>
    <w:rsid w:val="00ED302C"/>
    <w:rsid w:val="00ED3120"/>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454"/>
    <w:rsid w:val="00ED555A"/>
    <w:rsid w:val="00ED5627"/>
    <w:rsid w:val="00ED5DB6"/>
    <w:rsid w:val="00ED5DBB"/>
    <w:rsid w:val="00ED5E77"/>
    <w:rsid w:val="00ED5F90"/>
    <w:rsid w:val="00ED61EE"/>
    <w:rsid w:val="00ED6537"/>
    <w:rsid w:val="00ED6872"/>
    <w:rsid w:val="00ED69F3"/>
    <w:rsid w:val="00ED6D22"/>
    <w:rsid w:val="00ED6E50"/>
    <w:rsid w:val="00ED6F28"/>
    <w:rsid w:val="00ED7160"/>
    <w:rsid w:val="00ED78E0"/>
    <w:rsid w:val="00ED7CCB"/>
    <w:rsid w:val="00EE01A3"/>
    <w:rsid w:val="00EE0226"/>
    <w:rsid w:val="00EE08C2"/>
    <w:rsid w:val="00EE0CC8"/>
    <w:rsid w:val="00EE0D7B"/>
    <w:rsid w:val="00EE0F04"/>
    <w:rsid w:val="00EE12CF"/>
    <w:rsid w:val="00EE136D"/>
    <w:rsid w:val="00EE14E8"/>
    <w:rsid w:val="00EE151A"/>
    <w:rsid w:val="00EE15BE"/>
    <w:rsid w:val="00EE1820"/>
    <w:rsid w:val="00EE187A"/>
    <w:rsid w:val="00EE1B46"/>
    <w:rsid w:val="00EE1D8A"/>
    <w:rsid w:val="00EE2201"/>
    <w:rsid w:val="00EE291D"/>
    <w:rsid w:val="00EE31B3"/>
    <w:rsid w:val="00EE3711"/>
    <w:rsid w:val="00EE380B"/>
    <w:rsid w:val="00EE3BC2"/>
    <w:rsid w:val="00EE4608"/>
    <w:rsid w:val="00EE4713"/>
    <w:rsid w:val="00EE4D6E"/>
    <w:rsid w:val="00EE5024"/>
    <w:rsid w:val="00EE5326"/>
    <w:rsid w:val="00EE55D8"/>
    <w:rsid w:val="00EE5C91"/>
    <w:rsid w:val="00EE6007"/>
    <w:rsid w:val="00EE6047"/>
    <w:rsid w:val="00EE6159"/>
    <w:rsid w:val="00EE69D5"/>
    <w:rsid w:val="00EE6C01"/>
    <w:rsid w:val="00EE7000"/>
    <w:rsid w:val="00EE760F"/>
    <w:rsid w:val="00EE7A57"/>
    <w:rsid w:val="00EF026B"/>
    <w:rsid w:val="00EF0400"/>
    <w:rsid w:val="00EF0817"/>
    <w:rsid w:val="00EF0968"/>
    <w:rsid w:val="00EF0D71"/>
    <w:rsid w:val="00EF0F3E"/>
    <w:rsid w:val="00EF11C7"/>
    <w:rsid w:val="00EF11EE"/>
    <w:rsid w:val="00EF14F8"/>
    <w:rsid w:val="00EF1534"/>
    <w:rsid w:val="00EF1B6D"/>
    <w:rsid w:val="00EF1BBD"/>
    <w:rsid w:val="00EF1DE9"/>
    <w:rsid w:val="00EF1EF8"/>
    <w:rsid w:val="00EF2092"/>
    <w:rsid w:val="00EF2CF9"/>
    <w:rsid w:val="00EF3545"/>
    <w:rsid w:val="00EF36CA"/>
    <w:rsid w:val="00EF3F20"/>
    <w:rsid w:val="00EF442B"/>
    <w:rsid w:val="00EF4775"/>
    <w:rsid w:val="00EF4837"/>
    <w:rsid w:val="00EF4C04"/>
    <w:rsid w:val="00EF51FC"/>
    <w:rsid w:val="00EF54BB"/>
    <w:rsid w:val="00EF54E7"/>
    <w:rsid w:val="00EF5AB8"/>
    <w:rsid w:val="00EF5BE7"/>
    <w:rsid w:val="00EF5C30"/>
    <w:rsid w:val="00EF5D7F"/>
    <w:rsid w:val="00EF607C"/>
    <w:rsid w:val="00EF6090"/>
    <w:rsid w:val="00EF6315"/>
    <w:rsid w:val="00EF66D0"/>
    <w:rsid w:val="00EF68E2"/>
    <w:rsid w:val="00EF6E80"/>
    <w:rsid w:val="00EF7400"/>
    <w:rsid w:val="00EF7552"/>
    <w:rsid w:val="00EF7956"/>
    <w:rsid w:val="00EF7F60"/>
    <w:rsid w:val="00F00116"/>
    <w:rsid w:val="00F0034A"/>
    <w:rsid w:val="00F00669"/>
    <w:rsid w:val="00F00670"/>
    <w:rsid w:val="00F0069D"/>
    <w:rsid w:val="00F00A2A"/>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4E8E"/>
    <w:rsid w:val="00F05167"/>
    <w:rsid w:val="00F053B1"/>
    <w:rsid w:val="00F05808"/>
    <w:rsid w:val="00F05A84"/>
    <w:rsid w:val="00F05B06"/>
    <w:rsid w:val="00F05DEB"/>
    <w:rsid w:val="00F05EA4"/>
    <w:rsid w:val="00F06046"/>
    <w:rsid w:val="00F062BC"/>
    <w:rsid w:val="00F0633A"/>
    <w:rsid w:val="00F06A6F"/>
    <w:rsid w:val="00F06DB1"/>
    <w:rsid w:val="00F0733E"/>
    <w:rsid w:val="00F074A7"/>
    <w:rsid w:val="00F07780"/>
    <w:rsid w:val="00F0794B"/>
    <w:rsid w:val="00F07ADA"/>
    <w:rsid w:val="00F07C3C"/>
    <w:rsid w:val="00F07F5F"/>
    <w:rsid w:val="00F10313"/>
    <w:rsid w:val="00F10319"/>
    <w:rsid w:val="00F10616"/>
    <w:rsid w:val="00F107CF"/>
    <w:rsid w:val="00F1098E"/>
    <w:rsid w:val="00F10C31"/>
    <w:rsid w:val="00F11344"/>
    <w:rsid w:val="00F1145B"/>
    <w:rsid w:val="00F1145F"/>
    <w:rsid w:val="00F11560"/>
    <w:rsid w:val="00F11AE0"/>
    <w:rsid w:val="00F11B0C"/>
    <w:rsid w:val="00F11D56"/>
    <w:rsid w:val="00F123EC"/>
    <w:rsid w:val="00F12B7C"/>
    <w:rsid w:val="00F1318F"/>
    <w:rsid w:val="00F137A1"/>
    <w:rsid w:val="00F13842"/>
    <w:rsid w:val="00F1397B"/>
    <w:rsid w:val="00F13AA6"/>
    <w:rsid w:val="00F13C48"/>
    <w:rsid w:val="00F13C6E"/>
    <w:rsid w:val="00F142A4"/>
    <w:rsid w:val="00F142F8"/>
    <w:rsid w:val="00F1486E"/>
    <w:rsid w:val="00F14FB1"/>
    <w:rsid w:val="00F14FF3"/>
    <w:rsid w:val="00F15860"/>
    <w:rsid w:val="00F15DD8"/>
    <w:rsid w:val="00F15E76"/>
    <w:rsid w:val="00F1607B"/>
    <w:rsid w:val="00F164DA"/>
    <w:rsid w:val="00F1668F"/>
    <w:rsid w:val="00F16830"/>
    <w:rsid w:val="00F16AEB"/>
    <w:rsid w:val="00F16C7B"/>
    <w:rsid w:val="00F16CFA"/>
    <w:rsid w:val="00F16EAF"/>
    <w:rsid w:val="00F17059"/>
    <w:rsid w:val="00F17147"/>
    <w:rsid w:val="00F17551"/>
    <w:rsid w:val="00F17752"/>
    <w:rsid w:val="00F179AB"/>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35D"/>
    <w:rsid w:val="00F22AF5"/>
    <w:rsid w:val="00F22C95"/>
    <w:rsid w:val="00F22D01"/>
    <w:rsid w:val="00F22D23"/>
    <w:rsid w:val="00F22E04"/>
    <w:rsid w:val="00F23042"/>
    <w:rsid w:val="00F23095"/>
    <w:rsid w:val="00F23150"/>
    <w:rsid w:val="00F2343B"/>
    <w:rsid w:val="00F238C4"/>
    <w:rsid w:val="00F23AC0"/>
    <w:rsid w:val="00F23BF4"/>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66A"/>
    <w:rsid w:val="00F317CC"/>
    <w:rsid w:val="00F31913"/>
    <w:rsid w:val="00F32321"/>
    <w:rsid w:val="00F329F6"/>
    <w:rsid w:val="00F32CB3"/>
    <w:rsid w:val="00F32E03"/>
    <w:rsid w:val="00F3319A"/>
    <w:rsid w:val="00F331DD"/>
    <w:rsid w:val="00F3357C"/>
    <w:rsid w:val="00F33771"/>
    <w:rsid w:val="00F33C7A"/>
    <w:rsid w:val="00F3404B"/>
    <w:rsid w:val="00F34054"/>
    <w:rsid w:val="00F3448E"/>
    <w:rsid w:val="00F34635"/>
    <w:rsid w:val="00F34A54"/>
    <w:rsid w:val="00F34E1A"/>
    <w:rsid w:val="00F34EA0"/>
    <w:rsid w:val="00F34F52"/>
    <w:rsid w:val="00F34F85"/>
    <w:rsid w:val="00F3505A"/>
    <w:rsid w:val="00F35669"/>
    <w:rsid w:val="00F357EA"/>
    <w:rsid w:val="00F36013"/>
    <w:rsid w:val="00F36499"/>
    <w:rsid w:val="00F36B7B"/>
    <w:rsid w:val="00F370D0"/>
    <w:rsid w:val="00F3731F"/>
    <w:rsid w:val="00F374D0"/>
    <w:rsid w:val="00F3755C"/>
    <w:rsid w:val="00F37D1E"/>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2D92"/>
    <w:rsid w:val="00F4319A"/>
    <w:rsid w:val="00F4323A"/>
    <w:rsid w:val="00F4379E"/>
    <w:rsid w:val="00F4479D"/>
    <w:rsid w:val="00F44F40"/>
    <w:rsid w:val="00F4501F"/>
    <w:rsid w:val="00F4511A"/>
    <w:rsid w:val="00F455DD"/>
    <w:rsid w:val="00F45DB4"/>
    <w:rsid w:val="00F460FD"/>
    <w:rsid w:val="00F461C9"/>
    <w:rsid w:val="00F46700"/>
    <w:rsid w:val="00F4677C"/>
    <w:rsid w:val="00F467DF"/>
    <w:rsid w:val="00F46A1E"/>
    <w:rsid w:val="00F4707B"/>
    <w:rsid w:val="00F471C7"/>
    <w:rsid w:val="00F47F8D"/>
    <w:rsid w:val="00F503B9"/>
    <w:rsid w:val="00F504E9"/>
    <w:rsid w:val="00F50B27"/>
    <w:rsid w:val="00F50BBC"/>
    <w:rsid w:val="00F5114C"/>
    <w:rsid w:val="00F5158F"/>
    <w:rsid w:val="00F51BF4"/>
    <w:rsid w:val="00F51BF5"/>
    <w:rsid w:val="00F51C9D"/>
    <w:rsid w:val="00F51DAE"/>
    <w:rsid w:val="00F5244D"/>
    <w:rsid w:val="00F524D5"/>
    <w:rsid w:val="00F52BED"/>
    <w:rsid w:val="00F52CE4"/>
    <w:rsid w:val="00F537D5"/>
    <w:rsid w:val="00F53C50"/>
    <w:rsid w:val="00F53E12"/>
    <w:rsid w:val="00F53EC2"/>
    <w:rsid w:val="00F541E4"/>
    <w:rsid w:val="00F54675"/>
    <w:rsid w:val="00F54810"/>
    <w:rsid w:val="00F54C34"/>
    <w:rsid w:val="00F54CEB"/>
    <w:rsid w:val="00F551D4"/>
    <w:rsid w:val="00F551DC"/>
    <w:rsid w:val="00F55CB2"/>
    <w:rsid w:val="00F55FC3"/>
    <w:rsid w:val="00F56149"/>
    <w:rsid w:val="00F56731"/>
    <w:rsid w:val="00F56850"/>
    <w:rsid w:val="00F56B2F"/>
    <w:rsid w:val="00F56FFA"/>
    <w:rsid w:val="00F573BC"/>
    <w:rsid w:val="00F57572"/>
    <w:rsid w:val="00F57650"/>
    <w:rsid w:val="00F5797A"/>
    <w:rsid w:val="00F57D9D"/>
    <w:rsid w:val="00F600C3"/>
    <w:rsid w:val="00F60283"/>
    <w:rsid w:val="00F60327"/>
    <w:rsid w:val="00F6068C"/>
    <w:rsid w:val="00F60A83"/>
    <w:rsid w:val="00F60B66"/>
    <w:rsid w:val="00F60BF5"/>
    <w:rsid w:val="00F61166"/>
    <w:rsid w:val="00F613A4"/>
    <w:rsid w:val="00F61586"/>
    <w:rsid w:val="00F616C5"/>
    <w:rsid w:val="00F617A1"/>
    <w:rsid w:val="00F62355"/>
    <w:rsid w:val="00F6245C"/>
    <w:rsid w:val="00F62B05"/>
    <w:rsid w:val="00F62BB6"/>
    <w:rsid w:val="00F62C6C"/>
    <w:rsid w:val="00F62E11"/>
    <w:rsid w:val="00F63205"/>
    <w:rsid w:val="00F632A0"/>
    <w:rsid w:val="00F63802"/>
    <w:rsid w:val="00F63DC2"/>
    <w:rsid w:val="00F64502"/>
    <w:rsid w:val="00F6484D"/>
    <w:rsid w:val="00F64C22"/>
    <w:rsid w:val="00F6524D"/>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282"/>
    <w:rsid w:val="00F7143B"/>
    <w:rsid w:val="00F7147B"/>
    <w:rsid w:val="00F715A5"/>
    <w:rsid w:val="00F715F0"/>
    <w:rsid w:val="00F71708"/>
    <w:rsid w:val="00F71934"/>
    <w:rsid w:val="00F71A52"/>
    <w:rsid w:val="00F71B59"/>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10B"/>
    <w:rsid w:val="00F74753"/>
    <w:rsid w:val="00F74768"/>
    <w:rsid w:val="00F74A0D"/>
    <w:rsid w:val="00F74A8B"/>
    <w:rsid w:val="00F754E7"/>
    <w:rsid w:val="00F75803"/>
    <w:rsid w:val="00F758B4"/>
    <w:rsid w:val="00F75EA2"/>
    <w:rsid w:val="00F76196"/>
    <w:rsid w:val="00F76438"/>
    <w:rsid w:val="00F76C21"/>
    <w:rsid w:val="00F76CF6"/>
    <w:rsid w:val="00F76DD7"/>
    <w:rsid w:val="00F76F23"/>
    <w:rsid w:val="00F77061"/>
    <w:rsid w:val="00F776F4"/>
    <w:rsid w:val="00F77852"/>
    <w:rsid w:val="00F77A39"/>
    <w:rsid w:val="00F80010"/>
    <w:rsid w:val="00F80535"/>
    <w:rsid w:val="00F808AD"/>
    <w:rsid w:val="00F814E9"/>
    <w:rsid w:val="00F81709"/>
    <w:rsid w:val="00F817FC"/>
    <w:rsid w:val="00F81ADD"/>
    <w:rsid w:val="00F81AE4"/>
    <w:rsid w:val="00F81D7F"/>
    <w:rsid w:val="00F824B5"/>
    <w:rsid w:val="00F824D4"/>
    <w:rsid w:val="00F82545"/>
    <w:rsid w:val="00F82A32"/>
    <w:rsid w:val="00F82E98"/>
    <w:rsid w:val="00F82FE4"/>
    <w:rsid w:val="00F830F4"/>
    <w:rsid w:val="00F83281"/>
    <w:rsid w:val="00F83523"/>
    <w:rsid w:val="00F837E8"/>
    <w:rsid w:val="00F83BB6"/>
    <w:rsid w:val="00F84020"/>
    <w:rsid w:val="00F84230"/>
    <w:rsid w:val="00F84327"/>
    <w:rsid w:val="00F843CC"/>
    <w:rsid w:val="00F8488F"/>
    <w:rsid w:val="00F84984"/>
    <w:rsid w:val="00F849A5"/>
    <w:rsid w:val="00F84D5A"/>
    <w:rsid w:val="00F84EA9"/>
    <w:rsid w:val="00F8532B"/>
    <w:rsid w:val="00F85465"/>
    <w:rsid w:val="00F856D9"/>
    <w:rsid w:val="00F8575A"/>
    <w:rsid w:val="00F85F06"/>
    <w:rsid w:val="00F86D9F"/>
    <w:rsid w:val="00F87307"/>
    <w:rsid w:val="00F874CB"/>
    <w:rsid w:val="00F876CA"/>
    <w:rsid w:val="00F87CD9"/>
    <w:rsid w:val="00F87D47"/>
    <w:rsid w:val="00F9001E"/>
    <w:rsid w:val="00F909A8"/>
    <w:rsid w:val="00F90D11"/>
    <w:rsid w:val="00F91074"/>
    <w:rsid w:val="00F9117E"/>
    <w:rsid w:val="00F913D1"/>
    <w:rsid w:val="00F91683"/>
    <w:rsid w:val="00F91916"/>
    <w:rsid w:val="00F91E03"/>
    <w:rsid w:val="00F91E16"/>
    <w:rsid w:val="00F91FD9"/>
    <w:rsid w:val="00F923BC"/>
    <w:rsid w:val="00F92461"/>
    <w:rsid w:val="00F92545"/>
    <w:rsid w:val="00F92606"/>
    <w:rsid w:val="00F9281E"/>
    <w:rsid w:val="00F92AC5"/>
    <w:rsid w:val="00F92BC3"/>
    <w:rsid w:val="00F92CE8"/>
    <w:rsid w:val="00F92EFE"/>
    <w:rsid w:val="00F934E4"/>
    <w:rsid w:val="00F938B5"/>
    <w:rsid w:val="00F93A1B"/>
    <w:rsid w:val="00F93C0B"/>
    <w:rsid w:val="00F9442C"/>
    <w:rsid w:val="00F944BD"/>
    <w:rsid w:val="00F946A1"/>
    <w:rsid w:val="00F94710"/>
    <w:rsid w:val="00F94C56"/>
    <w:rsid w:val="00F94D11"/>
    <w:rsid w:val="00F94D4F"/>
    <w:rsid w:val="00F95082"/>
    <w:rsid w:val="00F95363"/>
    <w:rsid w:val="00F9543D"/>
    <w:rsid w:val="00F95C15"/>
    <w:rsid w:val="00F9635B"/>
    <w:rsid w:val="00F9658B"/>
    <w:rsid w:val="00F96701"/>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2C8E"/>
    <w:rsid w:val="00FA31FA"/>
    <w:rsid w:val="00FA33DD"/>
    <w:rsid w:val="00FA35F5"/>
    <w:rsid w:val="00FA3856"/>
    <w:rsid w:val="00FA3B69"/>
    <w:rsid w:val="00FA3C38"/>
    <w:rsid w:val="00FA3ED4"/>
    <w:rsid w:val="00FA3FD7"/>
    <w:rsid w:val="00FA420B"/>
    <w:rsid w:val="00FA478D"/>
    <w:rsid w:val="00FA4D8E"/>
    <w:rsid w:val="00FA4DE1"/>
    <w:rsid w:val="00FA4E62"/>
    <w:rsid w:val="00FA4F28"/>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4D8"/>
    <w:rsid w:val="00FB18AC"/>
    <w:rsid w:val="00FB19E7"/>
    <w:rsid w:val="00FB278F"/>
    <w:rsid w:val="00FB2A7A"/>
    <w:rsid w:val="00FB2AA9"/>
    <w:rsid w:val="00FB2C2A"/>
    <w:rsid w:val="00FB30DC"/>
    <w:rsid w:val="00FB3444"/>
    <w:rsid w:val="00FB344D"/>
    <w:rsid w:val="00FB35C9"/>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4A7"/>
    <w:rsid w:val="00FC0A68"/>
    <w:rsid w:val="00FC0BB9"/>
    <w:rsid w:val="00FC0DED"/>
    <w:rsid w:val="00FC0EF3"/>
    <w:rsid w:val="00FC12B1"/>
    <w:rsid w:val="00FC13A0"/>
    <w:rsid w:val="00FC147C"/>
    <w:rsid w:val="00FC1952"/>
    <w:rsid w:val="00FC1F15"/>
    <w:rsid w:val="00FC223A"/>
    <w:rsid w:val="00FC2486"/>
    <w:rsid w:val="00FC262E"/>
    <w:rsid w:val="00FC2695"/>
    <w:rsid w:val="00FC281A"/>
    <w:rsid w:val="00FC284F"/>
    <w:rsid w:val="00FC2991"/>
    <w:rsid w:val="00FC29CE"/>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22E"/>
    <w:rsid w:val="00FC72C9"/>
    <w:rsid w:val="00FC76EB"/>
    <w:rsid w:val="00FC77CB"/>
    <w:rsid w:val="00FC7810"/>
    <w:rsid w:val="00FC7982"/>
    <w:rsid w:val="00FC7AA0"/>
    <w:rsid w:val="00FC7FC6"/>
    <w:rsid w:val="00FD0024"/>
    <w:rsid w:val="00FD00C2"/>
    <w:rsid w:val="00FD04B3"/>
    <w:rsid w:val="00FD0A2B"/>
    <w:rsid w:val="00FD0AA7"/>
    <w:rsid w:val="00FD0CEA"/>
    <w:rsid w:val="00FD0D22"/>
    <w:rsid w:val="00FD0D9B"/>
    <w:rsid w:val="00FD1074"/>
    <w:rsid w:val="00FD1A57"/>
    <w:rsid w:val="00FD1E48"/>
    <w:rsid w:val="00FD274A"/>
    <w:rsid w:val="00FD324D"/>
    <w:rsid w:val="00FD360C"/>
    <w:rsid w:val="00FD38C6"/>
    <w:rsid w:val="00FD3B55"/>
    <w:rsid w:val="00FD437B"/>
    <w:rsid w:val="00FD43A0"/>
    <w:rsid w:val="00FD467D"/>
    <w:rsid w:val="00FD4859"/>
    <w:rsid w:val="00FD515E"/>
    <w:rsid w:val="00FD54F6"/>
    <w:rsid w:val="00FD5511"/>
    <w:rsid w:val="00FD5C39"/>
    <w:rsid w:val="00FD5C77"/>
    <w:rsid w:val="00FD6104"/>
    <w:rsid w:val="00FD6540"/>
    <w:rsid w:val="00FD6C64"/>
    <w:rsid w:val="00FD6D4D"/>
    <w:rsid w:val="00FD75BE"/>
    <w:rsid w:val="00FD7683"/>
    <w:rsid w:val="00FD76F5"/>
    <w:rsid w:val="00FD78E4"/>
    <w:rsid w:val="00FD7FE6"/>
    <w:rsid w:val="00FE0389"/>
    <w:rsid w:val="00FE046C"/>
    <w:rsid w:val="00FE05B4"/>
    <w:rsid w:val="00FE08B5"/>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2D"/>
    <w:rsid w:val="00FE3674"/>
    <w:rsid w:val="00FE38F0"/>
    <w:rsid w:val="00FE40BD"/>
    <w:rsid w:val="00FE435D"/>
    <w:rsid w:val="00FE44B7"/>
    <w:rsid w:val="00FE4743"/>
    <w:rsid w:val="00FE5906"/>
    <w:rsid w:val="00FE590E"/>
    <w:rsid w:val="00FE5B0F"/>
    <w:rsid w:val="00FE5B26"/>
    <w:rsid w:val="00FE5E62"/>
    <w:rsid w:val="00FE6523"/>
    <w:rsid w:val="00FE66EE"/>
    <w:rsid w:val="00FE6A1D"/>
    <w:rsid w:val="00FE6C44"/>
    <w:rsid w:val="00FE6CC9"/>
    <w:rsid w:val="00FE7234"/>
    <w:rsid w:val="00FE793B"/>
    <w:rsid w:val="00FE79E7"/>
    <w:rsid w:val="00FE7A21"/>
    <w:rsid w:val="00FF078A"/>
    <w:rsid w:val="00FF0C42"/>
    <w:rsid w:val="00FF0C7F"/>
    <w:rsid w:val="00FF0D86"/>
    <w:rsid w:val="00FF137E"/>
    <w:rsid w:val="00FF13A8"/>
    <w:rsid w:val="00FF15B4"/>
    <w:rsid w:val="00FF16E5"/>
    <w:rsid w:val="00FF182C"/>
    <w:rsid w:val="00FF1CA6"/>
    <w:rsid w:val="00FF2633"/>
    <w:rsid w:val="00FF26E1"/>
    <w:rsid w:val="00FF2804"/>
    <w:rsid w:val="00FF2A4E"/>
    <w:rsid w:val="00FF2BCC"/>
    <w:rsid w:val="00FF2E98"/>
    <w:rsid w:val="00FF2F90"/>
    <w:rsid w:val="00FF34DD"/>
    <w:rsid w:val="00FF37BD"/>
    <w:rsid w:val="00FF3CED"/>
    <w:rsid w:val="00FF3F20"/>
    <w:rsid w:val="00FF440D"/>
    <w:rsid w:val="00FF4983"/>
    <w:rsid w:val="00FF49BB"/>
    <w:rsid w:val="00FF4A69"/>
    <w:rsid w:val="00FF4C4E"/>
    <w:rsid w:val="00FF5216"/>
    <w:rsid w:val="00FF526A"/>
    <w:rsid w:val="00FF54C0"/>
    <w:rsid w:val="00FF554A"/>
    <w:rsid w:val="00FF56B7"/>
    <w:rsid w:val="00FF5A77"/>
    <w:rsid w:val="00FF5A97"/>
    <w:rsid w:val="00FF5BED"/>
    <w:rsid w:val="00FF5C21"/>
    <w:rsid w:val="00FF6009"/>
    <w:rsid w:val="00FF62F3"/>
    <w:rsid w:val="00FF64EB"/>
    <w:rsid w:val="00FF678F"/>
    <w:rsid w:val="00FF6CD1"/>
    <w:rsid w:val="00FF6E97"/>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997579"/>
    <w:rsid w:val="01AB094A"/>
    <w:rsid w:val="01AE21DC"/>
    <w:rsid w:val="01B306E4"/>
    <w:rsid w:val="01BC7227"/>
    <w:rsid w:val="01CF321E"/>
    <w:rsid w:val="01D27A5F"/>
    <w:rsid w:val="01D60825"/>
    <w:rsid w:val="01F37365"/>
    <w:rsid w:val="02004B2C"/>
    <w:rsid w:val="0201766A"/>
    <w:rsid w:val="0209568D"/>
    <w:rsid w:val="020B6137"/>
    <w:rsid w:val="021513F2"/>
    <w:rsid w:val="02151F95"/>
    <w:rsid w:val="02274CF6"/>
    <w:rsid w:val="022A4AA1"/>
    <w:rsid w:val="022E47B0"/>
    <w:rsid w:val="02320E86"/>
    <w:rsid w:val="0241235B"/>
    <w:rsid w:val="02417AE6"/>
    <w:rsid w:val="024C4A51"/>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15ED8"/>
    <w:rsid w:val="03382F46"/>
    <w:rsid w:val="033A53C5"/>
    <w:rsid w:val="035508BA"/>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8002CA"/>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92476"/>
    <w:rsid w:val="05EA3121"/>
    <w:rsid w:val="05EB37CA"/>
    <w:rsid w:val="05EF39F0"/>
    <w:rsid w:val="05F24E8E"/>
    <w:rsid w:val="06073C3A"/>
    <w:rsid w:val="06093003"/>
    <w:rsid w:val="060D79A1"/>
    <w:rsid w:val="060E00E0"/>
    <w:rsid w:val="060F2738"/>
    <w:rsid w:val="060F54BD"/>
    <w:rsid w:val="06197729"/>
    <w:rsid w:val="06257099"/>
    <w:rsid w:val="0632692A"/>
    <w:rsid w:val="06394B1D"/>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6F63548"/>
    <w:rsid w:val="07052BE0"/>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16B99"/>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16901"/>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2766E4"/>
    <w:rsid w:val="0A32370E"/>
    <w:rsid w:val="0A3247B9"/>
    <w:rsid w:val="0A3C183D"/>
    <w:rsid w:val="0A585A2D"/>
    <w:rsid w:val="0A594E3E"/>
    <w:rsid w:val="0A5B474D"/>
    <w:rsid w:val="0A5C768D"/>
    <w:rsid w:val="0A5F77A6"/>
    <w:rsid w:val="0A69175D"/>
    <w:rsid w:val="0A6F50FD"/>
    <w:rsid w:val="0A9123E5"/>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3C1522"/>
    <w:rsid w:val="0B426855"/>
    <w:rsid w:val="0B536C32"/>
    <w:rsid w:val="0B5823AA"/>
    <w:rsid w:val="0B595FAD"/>
    <w:rsid w:val="0B6E0FF5"/>
    <w:rsid w:val="0B7646AE"/>
    <w:rsid w:val="0B816B84"/>
    <w:rsid w:val="0B827907"/>
    <w:rsid w:val="0B8C4C1A"/>
    <w:rsid w:val="0B8E57C1"/>
    <w:rsid w:val="0B9549DB"/>
    <w:rsid w:val="0B9D13EC"/>
    <w:rsid w:val="0BA07E46"/>
    <w:rsid w:val="0BAC0D20"/>
    <w:rsid w:val="0BAE32C3"/>
    <w:rsid w:val="0BC032D6"/>
    <w:rsid w:val="0BC10793"/>
    <w:rsid w:val="0BC5147D"/>
    <w:rsid w:val="0BDB1E35"/>
    <w:rsid w:val="0BDB6546"/>
    <w:rsid w:val="0BE0571E"/>
    <w:rsid w:val="0BE32529"/>
    <w:rsid w:val="0C005070"/>
    <w:rsid w:val="0C18095E"/>
    <w:rsid w:val="0C195365"/>
    <w:rsid w:val="0C1A6BD3"/>
    <w:rsid w:val="0C1D70C9"/>
    <w:rsid w:val="0C3314C7"/>
    <w:rsid w:val="0C3619FA"/>
    <w:rsid w:val="0C626D69"/>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312E2"/>
    <w:rsid w:val="0D84515A"/>
    <w:rsid w:val="0D855329"/>
    <w:rsid w:val="0D8A6724"/>
    <w:rsid w:val="0D8E173E"/>
    <w:rsid w:val="0DA10A04"/>
    <w:rsid w:val="0DB07611"/>
    <w:rsid w:val="0DB649D5"/>
    <w:rsid w:val="0DBF281B"/>
    <w:rsid w:val="0DBF73C2"/>
    <w:rsid w:val="0DD74FA9"/>
    <w:rsid w:val="0DE70489"/>
    <w:rsid w:val="0DF13B47"/>
    <w:rsid w:val="0E072991"/>
    <w:rsid w:val="0E0A5187"/>
    <w:rsid w:val="0E2A7C5F"/>
    <w:rsid w:val="0E332166"/>
    <w:rsid w:val="0E3917FF"/>
    <w:rsid w:val="0E4848C0"/>
    <w:rsid w:val="0E4D4970"/>
    <w:rsid w:val="0E613656"/>
    <w:rsid w:val="0E6201F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6545"/>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1D83F6A"/>
    <w:rsid w:val="12023B4E"/>
    <w:rsid w:val="120B6EA9"/>
    <w:rsid w:val="1228310E"/>
    <w:rsid w:val="12313D6F"/>
    <w:rsid w:val="12325B1D"/>
    <w:rsid w:val="1244691E"/>
    <w:rsid w:val="1251591B"/>
    <w:rsid w:val="12547FF1"/>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7C5E12"/>
    <w:rsid w:val="138F4ADA"/>
    <w:rsid w:val="13910B1E"/>
    <w:rsid w:val="13B563DA"/>
    <w:rsid w:val="13BD31AB"/>
    <w:rsid w:val="13C53BCF"/>
    <w:rsid w:val="13C55B19"/>
    <w:rsid w:val="13CD27B6"/>
    <w:rsid w:val="13E24247"/>
    <w:rsid w:val="13E532CA"/>
    <w:rsid w:val="13ED0B0B"/>
    <w:rsid w:val="13ED7D7F"/>
    <w:rsid w:val="13F105F5"/>
    <w:rsid w:val="13F96221"/>
    <w:rsid w:val="13FA0A47"/>
    <w:rsid w:val="13FB3FB8"/>
    <w:rsid w:val="14007100"/>
    <w:rsid w:val="14145A78"/>
    <w:rsid w:val="14176353"/>
    <w:rsid w:val="141F7FB3"/>
    <w:rsid w:val="14242FDA"/>
    <w:rsid w:val="143734BF"/>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376642"/>
    <w:rsid w:val="15416178"/>
    <w:rsid w:val="1556756E"/>
    <w:rsid w:val="155B22F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3F39A2"/>
    <w:rsid w:val="17411EA1"/>
    <w:rsid w:val="174224E7"/>
    <w:rsid w:val="17493381"/>
    <w:rsid w:val="176752BD"/>
    <w:rsid w:val="178102C8"/>
    <w:rsid w:val="17874ED3"/>
    <w:rsid w:val="17886A2C"/>
    <w:rsid w:val="17897F67"/>
    <w:rsid w:val="178D27B8"/>
    <w:rsid w:val="178F26E7"/>
    <w:rsid w:val="17966843"/>
    <w:rsid w:val="17A9660F"/>
    <w:rsid w:val="17AE5928"/>
    <w:rsid w:val="17D04B6E"/>
    <w:rsid w:val="17D13FA2"/>
    <w:rsid w:val="17D80F4C"/>
    <w:rsid w:val="17DB6EF2"/>
    <w:rsid w:val="17DF5B01"/>
    <w:rsid w:val="17E14521"/>
    <w:rsid w:val="17E42601"/>
    <w:rsid w:val="17F779C2"/>
    <w:rsid w:val="18002CEE"/>
    <w:rsid w:val="180414A0"/>
    <w:rsid w:val="18077070"/>
    <w:rsid w:val="180A07C4"/>
    <w:rsid w:val="18117661"/>
    <w:rsid w:val="1812121F"/>
    <w:rsid w:val="1831695E"/>
    <w:rsid w:val="18392688"/>
    <w:rsid w:val="184077EF"/>
    <w:rsid w:val="18414CA2"/>
    <w:rsid w:val="18523ADE"/>
    <w:rsid w:val="18660CD4"/>
    <w:rsid w:val="1866694B"/>
    <w:rsid w:val="186C1ACE"/>
    <w:rsid w:val="186C4F70"/>
    <w:rsid w:val="186D267B"/>
    <w:rsid w:val="188859CE"/>
    <w:rsid w:val="18890477"/>
    <w:rsid w:val="188C5B30"/>
    <w:rsid w:val="188C6C7D"/>
    <w:rsid w:val="18960812"/>
    <w:rsid w:val="18960815"/>
    <w:rsid w:val="189C7EF6"/>
    <w:rsid w:val="18B04B4D"/>
    <w:rsid w:val="18B07A8C"/>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A76FA"/>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3164E"/>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A11"/>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21AE7"/>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AE52F1"/>
    <w:rsid w:val="1DB81A5B"/>
    <w:rsid w:val="1DBC1C44"/>
    <w:rsid w:val="1DCC2895"/>
    <w:rsid w:val="1DD55EF9"/>
    <w:rsid w:val="1DD96A64"/>
    <w:rsid w:val="1DF24DA6"/>
    <w:rsid w:val="1DF43659"/>
    <w:rsid w:val="1DFC21EE"/>
    <w:rsid w:val="1E0E4DD7"/>
    <w:rsid w:val="1E140822"/>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C1343E"/>
    <w:rsid w:val="1EDC2551"/>
    <w:rsid w:val="1EF23920"/>
    <w:rsid w:val="1EF80396"/>
    <w:rsid w:val="1F032AB6"/>
    <w:rsid w:val="1F0C0789"/>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8E1A2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1838B4"/>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CB2F61"/>
    <w:rsid w:val="21D6018C"/>
    <w:rsid w:val="21DF3292"/>
    <w:rsid w:val="21DF71DE"/>
    <w:rsid w:val="21E54497"/>
    <w:rsid w:val="22090BE4"/>
    <w:rsid w:val="22111157"/>
    <w:rsid w:val="2229623B"/>
    <w:rsid w:val="223552EF"/>
    <w:rsid w:val="22393A30"/>
    <w:rsid w:val="22446099"/>
    <w:rsid w:val="22477192"/>
    <w:rsid w:val="224C2951"/>
    <w:rsid w:val="226242EA"/>
    <w:rsid w:val="22636428"/>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7A043D"/>
    <w:rsid w:val="238600F6"/>
    <w:rsid w:val="2387117D"/>
    <w:rsid w:val="238C42D2"/>
    <w:rsid w:val="2393048F"/>
    <w:rsid w:val="239B051F"/>
    <w:rsid w:val="239E3C8F"/>
    <w:rsid w:val="23A06B4E"/>
    <w:rsid w:val="23A40CCF"/>
    <w:rsid w:val="23F61F1B"/>
    <w:rsid w:val="23FA1D01"/>
    <w:rsid w:val="24023C42"/>
    <w:rsid w:val="2404601A"/>
    <w:rsid w:val="24225397"/>
    <w:rsid w:val="24351B4F"/>
    <w:rsid w:val="243647BB"/>
    <w:rsid w:val="24501237"/>
    <w:rsid w:val="24576A62"/>
    <w:rsid w:val="245E385D"/>
    <w:rsid w:val="246040CD"/>
    <w:rsid w:val="246E76BE"/>
    <w:rsid w:val="246F6CD2"/>
    <w:rsid w:val="24762507"/>
    <w:rsid w:val="248219BA"/>
    <w:rsid w:val="24863B93"/>
    <w:rsid w:val="24975612"/>
    <w:rsid w:val="249E3719"/>
    <w:rsid w:val="24A2659E"/>
    <w:rsid w:val="24AC0D7E"/>
    <w:rsid w:val="24B346B5"/>
    <w:rsid w:val="24B606B7"/>
    <w:rsid w:val="24BE1915"/>
    <w:rsid w:val="24C97FE1"/>
    <w:rsid w:val="24CB478F"/>
    <w:rsid w:val="24CB589E"/>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C80A2D"/>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51899"/>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82476"/>
    <w:rsid w:val="29D9317B"/>
    <w:rsid w:val="29E77938"/>
    <w:rsid w:val="29EB26AF"/>
    <w:rsid w:val="29EC161D"/>
    <w:rsid w:val="29F04EAF"/>
    <w:rsid w:val="29F116D0"/>
    <w:rsid w:val="2A0241CA"/>
    <w:rsid w:val="2A0777DB"/>
    <w:rsid w:val="2A1074D9"/>
    <w:rsid w:val="2A136762"/>
    <w:rsid w:val="2A1E7E82"/>
    <w:rsid w:val="2A332420"/>
    <w:rsid w:val="2A460E85"/>
    <w:rsid w:val="2A47107F"/>
    <w:rsid w:val="2A4B6FAD"/>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0E16CF"/>
    <w:rsid w:val="2B1615FD"/>
    <w:rsid w:val="2B1A0083"/>
    <w:rsid w:val="2B2E0309"/>
    <w:rsid w:val="2B422946"/>
    <w:rsid w:val="2B4A2389"/>
    <w:rsid w:val="2B5B34DC"/>
    <w:rsid w:val="2B6D12EE"/>
    <w:rsid w:val="2B76579E"/>
    <w:rsid w:val="2B774137"/>
    <w:rsid w:val="2B7973CB"/>
    <w:rsid w:val="2B831E93"/>
    <w:rsid w:val="2B885C3B"/>
    <w:rsid w:val="2B964DED"/>
    <w:rsid w:val="2B9B3546"/>
    <w:rsid w:val="2B9D1C2F"/>
    <w:rsid w:val="2BA57D96"/>
    <w:rsid w:val="2BAE29A1"/>
    <w:rsid w:val="2BBE438D"/>
    <w:rsid w:val="2BC67E5A"/>
    <w:rsid w:val="2BD315B0"/>
    <w:rsid w:val="2BE373EE"/>
    <w:rsid w:val="2BF83818"/>
    <w:rsid w:val="2BFC3156"/>
    <w:rsid w:val="2C04321D"/>
    <w:rsid w:val="2C064948"/>
    <w:rsid w:val="2C09767A"/>
    <w:rsid w:val="2C0A73E9"/>
    <w:rsid w:val="2C106FA1"/>
    <w:rsid w:val="2C1C0D98"/>
    <w:rsid w:val="2C295EB9"/>
    <w:rsid w:val="2C35729B"/>
    <w:rsid w:val="2C4628DA"/>
    <w:rsid w:val="2C552C56"/>
    <w:rsid w:val="2C575DDE"/>
    <w:rsid w:val="2C622710"/>
    <w:rsid w:val="2C6D1F29"/>
    <w:rsid w:val="2C734CA0"/>
    <w:rsid w:val="2C7A1A31"/>
    <w:rsid w:val="2C7C7D79"/>
    <w:rsid w:val="2C83115A"/>
    <w:rsid w:val="2C8B517A"/>
    <w:rsid w:val="2C904F04"/>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81A23"/>
    <w:rsid w:val="2E9B575E"/>
    <w:rsid w:val="2EA879B1"/>
    <w:rsid w:val="2EAD652A"/>
    <w:rsid w:val="2EB50951"/>
    <w:rsid w:val="2EB673FD"/>
    <w:rsid w:val="2EB809B1"/>
    <w:rsid w:val="2EB81831"/>
    <w:rsid w:val="2EC65D91"/>
    <w:rsid w:val="2ECA4203"/>
    <w:rsid w:val="2ECF7A85"/>
    <w:rsid w:val="2ED735AE"/>
    <w:rsid w:val="2EDA7272"/>
    <w:rsid w:val="2EE054B3"/>
    <w:rsid w:val="2EEB0155"/>
    <w:rsid w:val="2EEE6F91"/>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051F1"/>
    <w:rsid w:val="2FA83F4D"/>
    <w:rsid w:val="2FA94B2E"/>
    <w:rsid w:val="2FC733B8"/>
    <w:rsid w:val="2FCA4F20"/>
    <w:rsid w:val="2FFC76E4"/>
    <w:rsid w:val="300031CB"/>
    <w:rsid w:val="30036AB0"/>
    <w:rsid w:val="300C4C70"/>
    <w:rsid w:val="303371BB"/>
    <w:rsid w:val="3036266F"/>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86FCA"/>
    <w:rsid w:val="310E1069"/>
    <w:rsid w:val="31115223"/>
    <w:rsid w:val="311E23E7"/>
    <w:rsid w:val="31263645"/>
    <w:rsid w:val="312E109D"/>
    <w:rsid w:val="312F0667"/>
    <w:rsid w:val="313456CA"/>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22CEE"/>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AF4427"/>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CE2F75"/>
    <w:rsid w:val="34D46D17"/>
    <w:rsid w:val="34F1154D"/>
    <w:rsid w:val="34FB2B80"/>
    <w:rsid w:val="34FC4817"/>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732F8"/>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9029A"/>
    <w:rsid w:val="36ED465C"/>
    <w:rsid w:val="36F13515"/>
    <w:rsid w:val="36FF2820"/>
    <w:rsid w:val="370058B6"/>
    <w:rsid w:val="37035218"/>
    <w:rsid w:val="37066B46"/>
    <w:rsid w:val="37131885"/>
    <w:rsid w:val="372B0E5D"/>
    <w:rsid w:val="372E53E1"/>
    <w:rsid w:val="373F028D"/>
    <w:rsid w:val="373F1A14"/>
    <w:rsid w:val="37446775"/>
    <w:rsid w:val="37556EFB"/>
    <w:rsid w:val="375D088D"/>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11545"/>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DB7AA3"/>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81F18"/>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5275B5"/>
    <w:rsid w:val="3E675685"/>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106C89"/>
    <w:rsid w:val="3F1654B8"/>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2D65A1"/>
    <w:rsid w:val="40404B79"/>
    <w:rsid w:val="404358BE"/>
    <w:rsid w:val="40567BC4"/>
    <w:rsid w:val="40797278"/>
    <w:rsid w:val="408E3720"/>
    <w:rsid w:val="40912007"/>
    <w:rsid w:val="40934A80"/>
    <w:rsid w:val="40944C6D"/>
    <w:rsid w:val="409B357D"/>
    <w:rsid w:val="409F5F96"/>
    <w:rsid w:val="40B43BF9"/>
    <w:rsid w:val="40BC2DF7"/>
    <w:rsid w:val="40CE14CF"/>
    <w:rsid w:val="40CF6877"/>
    <w:rsid w:val="40D0680E"/>
    <w:rsid w:val="40D5202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BC6AAE"/>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9E3F12"/>
    <w:rsid w:val="42A82BA9"/>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6A5877"/>
    <w:rsid w:val="43741364"/>
    <w:rsid w:val="437F792B"/>
    <w:rsid w:val="43844CE6"/>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95716"/>
    <w:rsid w:val="446D573F"/>
    <w:rsid w:val="44775C46"/>
    <w:rsid w:val="447A4753"/>
    <w:rsid w:val="447E105E"/>
    <w:rsid w:val="449804C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2B664E"/>
    <w:rsid w:val="45341196"/>
    <w:rsid w:val="453D0D32"/>
    <w:rsid w:val="45493A4F"/>
    <w:rsid w:val="454E4188"/>
    <w:rsid w:val="45553167"/>
    <w:rsid w:val="455B5DC3"/>
    <w:rsid w:val="45727755"/>
    <w:rsid w:val="45965757"/>
    <w:rsid w:val="459E25BC"/>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3031E"/>
    <w:rsid w:val="47962309"/>
    <w:rsid w:val="479C610A"/>
    <w:rsid w:val="47A32AF0"/>
    <w:rsid w:val="47A64A8C"/>
    <w:rsid w:val="47AF032C"/>
    <w:rsid w:val="47BA0CEF"/>
    <w:rsid w:val="47C01EF2"/>
    <w:rsid w:val="47C07D80"/>
    <w:rsid w:val="47CA1A17"/>
    <w:rsid w:val="47E27634"/>
    <w:rsid w:val="47EA4D37"/>
    <w:rsid w:val="47EC146A"/>
    <w:rsid w:val="481D74A2"/>
    <w:rsid w:val="482A1EB8"/>
    <w:rsid w:val="482F15AF"/>
    <w:rsid w:val="48334280"/>
    <w:rsid w:val="48386782"/>
    <w:rsid w:val="4839372F"/>
    <w:rsid w:val="48406A1E"/>
    <w:rsid w:val="48455013"/>
    <w:rsid w:val="484726A4"/>
    <w:rsid w:val="484B7369"/>
    <w:rsid w:val="48574B08"/>
    <w:rsid w:val="48641164"/>
    <w:rsid w:val="48664F9E"/>
    <w:rsid w:val="487274B4"/>
    <w:rsid w:val="487F714C"/>
    <w:rsid w:val="48811612"/>
    <w:rsid w:val="488818E0"/>
    <w:rsid w:val="48A36EB3"/>
    <w:rsid w:val="48B86BFD"/>
    <w:rsid w:val="48E06989"/>
    <w:rsid w:val="48E2763C"/>
    <w:rsid w:val="48E92C88"/>
    <w:rsid w:val="48EB1D85"/>
    <w:rsid w:val="48F65A0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DA57B7"/>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0171D6"/>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05F50"/>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D81AB4"/>
    <w:rsid w:val="4DDC6F57"/>
    <w:rsid w:val="4DF67531"/>
    <w:rsid w:val="4DF9062B"/>
    <w:rsid w:val="4E014EF8"/>
    <w:rsid w:val="4E066E93"/>
    <w:rsid w:val="4E075658"/>
    <w:rsid w:val="4E0D6F7B"/>
    <w:rsid w:val="4E1D7E77"/>
    <w:rsid w:val="4E236A05"/>
    <w:rsid w:val="4E51451A"/>
    <w:rsid w:val="4E586957"/>
    <w:rsid w:val="4E7D60BC"/>
    <w:rsid w:val="4E932EF7"/>
    <w:rsid w:val="4EB83036"/>
    <w:rsid w:val="4EBD60B3"/>
    <w:rsid w:val="4ED90109"/>
    <w:rsid w:val="4ED9277C"/>
    <w:rsid w:val="4EDE397C"/>
    <w:rsid w:val="4EF614BA"/>
    <w:rsid w:val="4EF62402"/>
    <w:rsid w:val="4EFF076D"/>
    <w:rsid w:val="4F087D26"/>
    <w:rsid w:val="4F35630A"/>
    <w:rsid w:val="4F362E18"/>
    <w:rsid w:val="4F3C0997"/>
    <w:rsid w:val="4F3E2D1B"/>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6D3ED7"/>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B53F6"/>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9B2"/>
    <w:rsid w:val="524C1BBF"/>
    <w:rsid w:val="52513EE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426"/>
    <w:rsid w:val="52F63B4F"/>
    <w:rsid w:val="53037F01"/>
    <w:rsid w:val="53067621"/>
    <w:rsid w:val="53082F2C"/>
    <w:rsid w:val="530E35EF"/>
    <w:rsid w:val="53131C59"/>
    <w:rsid w:val="5316100D"/>
    <w:rsid w:val="53196CFD"/>
    <w:rsid w:val="53286C71"/>
    <w:rsid w:val="53345BA9"/>
    <w:rsid w:val="53396085"/>
    <w:rsid w:val="534A7EEE"/>
    <w:rsid w:val="53535371"/>
    <w:rsid w:val="535566FA"/>
    <w:rsid w:val="53670639"/>
    <w:rsid w:val="537E4B22"/>
    <w:rsid w:val="538F1C62"/>
    <w:rsid w:val="53996C6D"/>
    <w:rsid w:val="53B33165"/>
    <w:rsid w:val="53B84C8E"/>
    <w:rsid w:val="53BD274E"/>
    <w:rsid w:val="53CA6A89"/>
    <w:rsid w:val="53DD1658"/>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77309"/>
    <w:rsid w:val="557A16A0"/>
    <w:rsid w:val="559719B0"/>
    <w:rsid w:val="559941D1"/>
    <w:rsid w:val="559A22C4"/>
    <w:rsid w:val="559C2F3F"/>
    <w:rsid w:val="559F228F"/>
    <w:rsid w:val="55A67EE8"/>
    <w:rsid w:val="55B54251"/>
    <w:rsid w:val="55D00DC0"/>
    <w:rsid w:val="55E8090D"/>
    <w:rsid w:val="55F54EAA"/>
    <w:rsid w:val="56060266"/>
    <w:rsid w:val="560F4433"/>
    <w:rsid w:val="561B060B"/>
    <w:rsid w:val="561D6A15"/>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A583B"/>
    <w:rsid w:val="56EB3361"/>
    <w:rsid w:val="56F24D40"/>
    <w:rsid w:val="56F40954"/>
    <w:rsid w:val="56F72F30"/>
    <w:rsid w:val="56F96C00"/>
    <w:rsid w:val="56FA2602"/>
    <w:rsid w:val="570606C5"/>
    <w:rsid w:val="570D256E"/>
    <w:rsid w:val="57301450"/>
    <w:rsid w:val="57316C99"/>
    <w:rsid w:val="573823DC"/>
    <w:rsid w:val="574D339C"/>
    <w:rsid w:val="5753468B"/>
    <w:rsid w:val="575A00EB"/>
    <w:rsid w:val="575B3101"/>
    <w:rsid w:val="5760479D"/>
    <w:rsid w:val="576D43D6"/>
    <w:rsid w:val="5779650A"/>
    <w:rsid w:val="579670F4"/>
    <w:rsid w:val="57B11185"/>
    <w:rsid w:val="57B15E76"/>
    <w:rsid w:val="57B32A2C"/>
    <w:rsid w:val="57BA33E6"/>
    <w:rsid w:val="57C451DA"/>
    <w:rsid w:val="57E12441"/>
    <w:rsid w:val="57E52AC8"/>
    <w:rsid w:val="57F01B40"/>
    <w:rsid w:val="57F25C54"/>
    <w:rsid w:val="58037259"/>
    <w:rsid w:val="580B1E0B"/>
    <w:rsid w:val="58145108"/>
    <w:rsid w:val="58164A86"/>
    <w:rsid w:val="58224F50"/>
    <w:rsid w:val="58294D7E"/>
    <w:rsid w:val="584410CC"/>
    <w:rsid w:val="584534F8"/>
    <w:rsid w:val="585712B7"/>
    <w:rsid w:val="58582441"/>
    <w:rsid w:val="58591127"/>
    <w:rsid w:val="58603614"/>
    <w:rsid w:val="58615E6E"/>
    <w:rsid w:val="58635793"/>
    <w:rsid w:val="586A36EE"/>
    <w:rsid w:val="587D0D3A"/>
    <w:rsid w:val="58824D93"/>
    <w:rsid w:val="588C11D6"/>
    <w:rsid w:val="589E399D"/>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CD6AE6"/>
    <w:rsid w:val="5BDA1A02"/>
    <w:rsid w:val="5BDA3815"/>
    <w:rsid w:val="5BE35BA2"/>
    <w:rsid w:val="5C0A6081"/>
    <w:rsid w:val="5C100E26"/>
    <w:rsid w:val="5C1B6D19"/>
    <w:rsid w:val="5C280DB7"/>
    <w:rsid w:val="5C4C3CC9"/>
    <w:rsid w:val="5C5C59BB"/>
    <w:rsid w:val="5C6A1E8C"/>
    <w:rsid w:val="5C6F3AA2"/>
    <w:rsid w:val="5C85298F"/>
    <w:rsid w:val="5CDC5778"/>
    <w:rsid w:val="5CE70DB3"/>
    <w:rsid w:val="5CF20C05"/>
    <w:rsid w:val="5CF21D7F"/>
    <w:rsid w:val="5CF47DE5"/>
    <w:rsid w:val="5CF617C9"/>
    <w:rsid w:val="5CFE5C52"/>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E2283"/>
    <w:rsid w:val="5D7F592A"/>
    <w:rsid w:val="5D966EF6"/>
    <w:rsid w:val="5D9839FA"/>
    <w:rsid w:val="5D9C2492"/>
    <w:rsid w:val="5DC675E0"/>
    <w:rsid w:val="5DCE771F"/>
    <w:rsid w:val="5DD3556C"/>
    <w:rsid w:val="5DD81E67"/>
    <w:rsid w:val="5DDD50B5"/>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2D0F"/>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0A35C2"/>
    <w:rsid w:val="5F113A2C"/>
    <w:rsid w:val="5F143221"/>
    <w:rsid w:val="5F173FD8"/>
    <w:rsid w:val="5F282450"/>
    <w:rsid w:val="5F323B84"/>
    <w:rsid w:val="5F3262F4"/>
    <w:rsid w:val="5F441058"/>
    <w:rsid w:val="5F473A39"/>
    <w:rsid w:val="5F5C27E5"/>
    <w:rsid w:val="5F6729CB"/>
    <w:rsid w:val="5F6938A8"/>
    <w:rsid w:val="5F6E2815"/>
    <w:rsid w:val="5F775C2F"/>
    <w:rsid w:val="5F7C06D8"/>
    <w:rsid w:val="5F7D34EC"/>
    <w:rsid w:val="5F8939C8"/>
    <w:rsid w:val="5F9310DC"/>
    <w:rsid w:val="5F986BBA"/>
    <w:rsid w:val="5F9A27D4"/>
    <w:rsid w:val="5F9E02EC"/>
    <w:rsid w:val="5FA1081C"/>
    <w:rsid w:val="5FBB5BDB"/>
    <w:rsid w:val="5FD14C3B"/>
    <w:rsid w:val="5FD9462B"/>
    <w:rsid w:val="5FE061B9"/>
    <w:rsid w:val="5FE37484"/>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531E2"/>
    <w:rsid w:val="609829AE"/>
    <w:rsid w:val="60993336"/>
    <w:rsid w:val="609949E1"/>
    <w:rsid w:val="60A27DAC"/>
    <w:rsid w:val="60B46A9C"/>
    <w:rsid w:val="60B91733"/>
    <w:rsid w:val="60E34759"/>
    <w:rsid w:val="60E6622A"/>
    <w:rsid w:val="60E9636C"/>
    <w:rsid w:val="610B115D"/>
    <w:rsid w:val="61120121"/>
    <w:rsid w:val="611F5E40"/>
    <w:rsid w:val="61236E7C"/>
    <w:rsid w:val="612650A2"/>
    <w:rsid w:val="61275225"/>
    <w:rsid w:val="612E2767"/>
    <w:rsid w:val="61385CE9"/>
    <w:rsid w:val="614041D7"/>
    <w:rsid w:val="61552A82"/>
    <w:rsid w:val="616C655B"/>
    <w:rsid w:val="616E381D"/>
    <w:rsid w:val="616E7A73"/>
    <w:rsid w:val="6189373F"/>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4E62CD"/>
    <w:rsid w:val="62511DE0"/>
    <w:rsid w:val="626477CA"/>
    <w:rsid w:val="628C53F9"/>
    <w:rsid w:val="62937829"/>
    <w:rsid w:val="62A20B07"/>
    <w:rsid w:val="62A414E0"/>
    <w:rsid w:val="62A46FC3"/>
    <w:rsid w:val="62AF2C89"/>
    <w:rsid w:val="62BA5904"/>
    <w:rsid w:val="62CC77CB"/>
    <w:rsid w:val="62D61CC1"/>
    <w:rsid w:val="62DD7AD3"/>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454B4"/>
    <w:rsid w:val="63AA5332"/>
    <w:rsid w:val="63AB47F8"/>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D67B9D"/>
    <w:rsid w:val="64F149F1"/>
    <w:rsid w:val="65137300"/>
    <w:rsid w:val="651E7DAB"/>
    <w:rsid w:val="6526740F"/>
    <w:rsid w:val="652B0979"/>
    <w:rsid w:val="653277FB"/>
    <w:rsid w:val="6556674F"/>
    <w:rsid w:val="655F2B6C"/>
    <w:rsid w:val="65862CD9"/>
    <w:rsid w:val="6588686F"/>
    <w:rsid w:val="65995916"/>
    <w:rsid w:val="659E46D8"/>
    <w:rsid w:val="659E577E"/>
    <w:rsid w:val="65A57048"/>
    <w:rsid w:val="65B50E5A"/>
    <w:rsid w:val="65D1502E"/>
    <w:rsid w:val="65D40A3C"/>
    <w:rsid w:val="65D54781"/>
    <w:rsid w:val="65D7500D"/>
    <w:rsid w:val="65E00E45"/>
    <w:rsid w:val="65F251CE"/>
    <w:rsid w:val="65FE7202"/>
    <w:rsid w:val="660867AF"/>
    <w:rsid w:val="661147C7"/>
    <w:rsid w:val="66283212"/>
    <w:rsid w:val="662D27C6"/>
    <w:rsid w:val="66452970"/>
    <w:rsid w:val="66452FE9"/>
    <w:rsid w:val="664B315B"/>
    <w:rsid w:val="66791420"/>
    <w:rsid w:val="667B10A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228AF"/>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E9520E"/>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879A1"/>
    <w:rsid w:val="6BFA52B6"/>
    <w:rsid w:val="6C0F365E"/>
    <w:rsid w:val="6C2E2CA9"/>
    <w:rsid w:val="6C33536D"/>
    <w:rsid w:val="6C3D0DD9"/>
    <w:rsid w:val="6C3E3641"/>
    <w:rsid w:val="6C4B5737"/>
    <w:rsid w:val="6C4C737E"/>
    <w:rsid w:val="6C517C19"/>
    <w:rsid w:val="6C547454"/>
    <w:rsid w:val="6C5648D5"/>
    <w:rsid w:val="6C677C6A"/>
    <w:rsid w:val="6C740601"/>
    <w:rsid w:val="6C7A7875"/>
    <w:rsid w:val="6C842DAB"/>
    <w:rsid w:val="6C89553B"/>
    <w:rsid w:val="6C8A5474"/>
    <w:rsid w:val="6CA1167C"/>
    <w:rsid w:val="6CBB4458"/>
    <w:rsid w:val="6CCA446B"/>
    <w:rsid w:val="6CCE3605"/>
    <w:rsid w:val="6CD05C02"/>
    <w:rsid w:val="6CD85C69"/>
    <w:rsid w:val="6CF22917"/>
    <w:rsid w:val="6CFC34A1"/>
    <w:rsid w:val="6D1601C9"/>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75721"/>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EEE694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BD6E9E"/>
    <w:rsid w:val="6FD071A2"/>
    <w:rsid w:val="6FD57D31"/>
    <w:rsid w:val="6FD969D9"/>
    <w:rsid w:val="6FDF42CC"/>
    <w:rsid w:val="6FE47A0C"/>
    <w:rsid w:val="700A32D4"/>
    <w:rsid w:val="70141E75"/>
    <w:rsid w:val="70143D7F"/>
    <w:rsid w:val="70394E16"/>
    <w:rsid w:val="703B2856"/>
    <w:rsid w:val="70512274"/>
    <w:rsid w:val="705931BC"/>
    <w:rsid w:val="70650749"/>
    <w:rsid w:val="70651A57"/>
    <w:rsid w:val="707136A0"/>
    <w:rsid w:val="7071512F"/>
    <w:rsid w:val="70715661"/>
    <w:rsid w:val="7072320D"/>
    <w:rsid w:val="70820371"/>
    <w:rsid w:val="70836044"/>
    <w:rsid w:val="7084438E"/>
    <w:rsid w:val="708A6CC0"/>
    <w:rsid w:val="708D0480"/>
    <w:rsid w:val="70945DFE"/>
    <w:rsid w:val="70963635"/>
    <w:rsid w:val="709E757C"/>
    <w:rsid w:val="70A4031D"/>
    <w:rsid w:val="70A81FF7"/>
    <w:rsid w:val="70AB6982"/>
    <w:rsid w:val="70B960E4"/>
    <w:rsid w:val="70BD0161"/>
    <w:rsid w:val="70C93E55"/>
    <w:rsid w:val="70CE2945"/>
    <w:rsid w:val="70D87287"/>
    <w:rsid w:val="70DF3D25"/>
    <w:rsid w:val="70E03E42"/>
    <w:rsid w:val="70E36AA4"/>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4E45C6"/>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800797"/>
    <w:rsid w:val="728957F4"/>
    <w:rsid w:val="72931EAF"/>
    <w:rsid w:val="72945C31"/>
    <w:rsid w:val="72963B15"/>
    <w:rsid w:val="729A6459"/>
    <w:rsid w:val="729B43C7"/>
    <w:rsid w:val="729B556A"/>
    <w:rsid w:val="72A264DB"/>
    <w:rsid w:val="72AA2B66"/>
    <w:rsid w:val="72AC2EDB"/>
    <w:rsid w:val="72BD48D1"/>
    <w:rsid w:val="72C65D78"/>
    <w:rsid w:val="72D11FB9"/>
    <w:rsid w:val="72D63B2E"/>
    <w:rsid w:val="72D7336E"/>
    <w:rsid w:val="72E155BA"/>
    <w:rsid w:val="72F21234"/>
    <w:rsid w:val="72FD0906"/>
    <w:rsid w:val="72FF321E"/>
    <w:rsid w:val="7310056D"/>
    <w:rsid w:val="7313580C"/>
    <w:rsid w:val="731C1834"/>
    <w:rsid w:val="73300890"/>
    <w:rsid w:val="7339443F"/>
    <w:rsid w:val="734F14E0"/>
    <w:rsid w:val="736B2C3F"/>
    <w:rsid w:val="73795D74"/>
    <w:rsid w:val="739509FA"/>
    <w:rsid w:val="73A80755"/>
    <w:rsid w:val="73C4164C"/>
    <w:rsid w:val="73CA5326"/>
    <w:rsid w:val="73CC653A"/>
    <w:rsid w:val="73CF5D1F"/>
    <w:rsid w:val="73D11203"/>
    <w:rsid w:val="73D159A1"/>
    <w:rsid w:val="73D217D6"/>
    <w:rsid w:val="73DD0AC3"/>
    <w:rsid w:val="73E00FC2"/>
    <w:rsid w:val="73E96F00"/>
    <w:rsid w:val="73F35C20"/>
    <w:rsid w:val="73F8462A"/>
    <w:rsid w:val="74080168"/>
    <w:rsid w:val="740815DC"/>
    <w:rsid w:val="740C66E7"/>
    <w:rsid w:val="74192E50"/>
    <w:rsid w:val="741A1192"/>
    <w:rsid w:val="741D2D43"/>
    <w:rsid w:val="742037C6"/>
    <w:rsid w:val="74326D21"/>
    <w:rsid w:val="743F458D"/>
    <w:rsid w:val="745A7788"/>
    <w:rsid w:val="745B0796"/>
    <w:rsid w:val="745F4062"/>
    <w:rsid w:val="74A47F6D"/>
    <w:rsid w:val="74A818BF"/>
    <w:rsid w:val="74AA62A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14D04"/>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A770C"/>
    <w:rsid w:val="775E47D0"/>
    <w:rsid w:val="77653ACC"/>
    <w:rsid w:val="776569B5"/>
    <w:rsid w:val="777270E8"/>
    <w:rsid w:val="777471EF"/>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47376"/>
    <w:rsid w:val="78C54C9E"/>
    <w:rsid w:val="78E26C73"/>
    <w:rsid w:val="78E76B0F"/>
    <w:rsid w:val="78EF43FD"/>
    <w:rsid w:val="78F65C61"/>
    <w:rsid w:val="78F71FA4"/>
    <w:rsid w:val="78FB1BD1"/>
    <w:rsid w:val="7919443B"/>
    <w:rsid w:val="79213328"/>
    <w:rsid w:val="79235032"/>
    <w:rsid w:val="793A0447"/>
    <w:rsid w:val="79535E6E"/>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8A611D"/>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D11A50"/>
    <w:rsid w:val="7CEE3D8C"/>
    <w:rsid w:val="7D1807D1"/>
    <w:rsid w:val="7D197DD4"/>
    <w:rsid w:val="7D2F6FF7"/>
    <w:rsid w:val="7D303FCF"/>
    <w:rsid w:val="7D30637E"/>
    <w:rsid w:val="7D332F6D"/>
    <w:rsid w:val="7D3413C6"/>
    <w:rsid w:val="7D3446E3"/>
    <w:rsid w:val="7D3A1A33"/>
    <w:rsid w:val="7D3C594A"/>
    <w:rsid w:val="7D3D587B"/>
    <w:rsid w:val="7D406452"/>
    <w:rsid w:val="7D4435DF"/>
    <w:rsid w:val="7D4B267A"/>
    <w:rsid w:val="7D523AFC"/>
    <w:rsid w:val="7D5C75F5"/>
    <w:rsid w:val="7D6601C4"/>
    <w:rsid w:val="7D694213"/>
    <w:rsid w:val="7D6D7E22"/>
    <w:rsid w:val="7D6E16F4"/>
    <w:rsid w:val="7D6E6D2F"/>
    <w:rsid w:val="7D7609EC"/>
    <w:rsid w:val="7D764D9D"/>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EA7ED6"/>
    <w:rsid w:val="7EF765D0"/>
    <w:rsid w:val="7EF87C96"/>
    <w:rsid w:val="7EFA721D"/>
    <w:rsid w:val="7EFE6E9B"/>
    <w:rsid w:val="7F086927"/>
    <w:rsid w:val="7F20453E"/>
    <w:rsid w:val="7F215D8A"/>
    <w:rsid w:val="7F301B1E"/>
    <w:rsid w:val="7F375D0A"/>
    <w:rsid w:val="7F3B55B3"/>
    <w:rsid w:val="7F4B1713"/>
    <w:rsid w:val="7F500CBA"/>
    <w:rsid w:val="7F587DE1"/>
    <w:rsid w:val="7F59726B"/>
    <w:rsid w:val="7F61016D"/>
    <w:rsid w:val="7F635A42"/>
    <w:rsid w:val="7F6D28E2"/>
    <w:rsid w:val="7F820D78"/>
    <w:rsid w:val="7F8211F5"/>
    <w:rsid w:val="7F935AA2"/>
    <w:rsid w:val="7F9A1ABF"/>
    <w:rsid w:val="7FA379C4"/>
    <w:rsid w:val="7FA4156B"/>
    <w:rsid w:val="7FA51E6D"/>
    <w:rsid w:val="7FA95C9E"/>
    <w:rsid w:val="7FC76DE8"/>
    <w:rsid w:val="7FD10373"/>
    <w:rsid w:val="7FF57E09"/>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7"/>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36"/>
    <w:qFormat/>
    <w:uiPriority w:val="0"/>
    <w:pPr>
      <w:keepNext/>
      <w:keepLines/>
      <w:numPr>
        <w:ilvl w:val="1"/>
      </w:numPr>
      <w:spacing w:before="260" w:after="260" w:line="413" w:lineRule="auto"/>
      <w:outlineLvl w:val="1"/>
    </w:pPr>
    <w:rPr>
      <w:sz w:val="32"/>
    </w:rPr>
  </w:style>
  <w:style w:type="paragraph" w:styleId="4">
    <w:name w:val="heading 3"/>
    <w:basedOn w:val="3"/>
    <w:next w:val="1"/>
    <w:link w:val="1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8"/>
    <w:qFormat/>
    <w:uiPriority w:val="0"/>
    <w:pPr>
      <w:tabs>
        <w:tab w:val="left" w:pos="1418"/>
      </w:tabs>
      <w:spacing w:before="120" w:after="120" w:line="240" w:lineRule="auto"/>
    </w:pPr>
    <w:rPr>
      <w:b/>
      <w:bCs/>
      <w:szCs w:val="20"/>
      <w:lang w:val="en-GB" w:eastAsia="sv-SE"/>
    </w:rPr>
  </w:style>
  <w:style w:type="paragraph" w:styleId="13">
    <w:name w:val="Document Map"/>
    <w:basedOn w:val="1"/>
    <w:link w:val="60"/>
    <w:unhideWhenUsed/>
    <w:qFormat/>
    <w:uiPriority w:val="99"/>
    <w:rPr>
      <w:rFonts w:ascii="宋体"/>
      <w:sz w:val="18"/>
      <w:szCs w:val="18"/>
    </w:rPr>
  </w:style>
  <w:style w:type="paragraph" w:styleId="14">
    <w:name w:val="annotation text"/>
    <w:basedOn w:val="1"/>
    <w:link w:val="53"/>
    <w:unhideWhenUsed/>
    <w:qFormat/>
    <w:uiPriority w:val="0"/>
    <w:rPr>
      <w:szCs w:val="20"/>
    </w:rPr>
  </w:style>
  <w:style w:type="paragraph" w:styleId="15">
    <w:name w:val="Body Text"/>
    <w:basedOn w:val="1"/>
    <w:link w:val="54"/>
    <w:qFormat/>
    <w:uiPriority w:val="0"/>
    <w:pPr>
      <w:widowControl w:val="0"/>
      <w:spacing w:after="0" w:line="240" w:lineRule="auto"/>
      <w:jc w:val="both"/>
    </w:pPr>
    <w:rPr>
      <w:color w:val="0000FF"/>
      <w:kern w:val="2"/>
      <w:sz w:val="21"/>
      <w:szCs w:val="20"/>
    </w:rPr>
  </w:style>
  <w:style w:type="paragraph" w:styleId="16">
    <w:name w:val="Date"/>
    <w:basedOn w:val="1"/>
    <w:next w:val="1"/>
    <w:qFormat/>
    <w:uiPriority w:val="99"/>
    <w:pPr>
      <w:spacing w:after="0"/>
    </w:pPr>
    <w:rPr>
      <w:rFonts w:ascii="Times" w:hAnsi="Times" w:eastAsia="Batang"/>
      <w:szCs w:val="24"/>
      <w:lang w:val="en-GB"/>
    </w:rPr>
  </w:style>
  <w:style w:type="paragraph" w:styleId="17">
    <w:name w:val="Balloon Text"/>
    <w:basedOn w:val="1"/>
    <w:link w:val="35"/>
    <w:unhideWhenUsed/>
    <w:qFormat/>
    <w:uiPriority w:val="99"/>
    <w:pPr>
      <w:spacing w:after="0" w:line="240" w:lineRule="auto"/>
    </w:pPr>
    <w:rPr>
      <w:rFonts w:ascii="Tahoma" w:hAnsi="Tahoma"/>
      <w:sz w:val="16"/>
      <w:szCs w:val="16"/>
    </w:rPr>
  </w:style>
  <w:style w:type="paragraph" w:styleId="18">
    <w:name w:val="footer"/>
    <w:basedOn w:val="19"/>
    <w:qFormat/>
    <w:uiPriority w:val="0"/>
    <w:pPr>
      <w:tabs>
        <w:tab w:val="center" w:pos="4153"/>
        <w:tab w:val="center" w:pos="4536"/>
        <w:tab w:val="right" w:pos="8306"/>
        <w:tab w:val="right" w:pos="9072"/>
      </w:tabs>
      <w:snapToGrid w:val="0"/>
    </w:pPr>
    <w:rPr>
      <w:sz w:val="18"/>
      <w:szCs w:val="18"/>
    </w:rPr>
  </w:style>
  <w:style w:type="paragraph" w:styleId="19">
    <w:name w:val="header"/>
    <w:basedOn w:val="1"/>
    <w:link w:val="39"/>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41"/>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40"/>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批注框文本 字符"/>
    <w:link w:val="17"/>
    <w:semiHidden/>
    <w:qFormat/>
    <w:uiPriority w:val="99"/>
    <w:rPr>
      <w:rFonts w:ascii="Tahoma" w:hAnsi="Tahoma" w:cs="Tahoma"/>
      <w:sz w:val="16"/>
      <w:szCs w:val="16"/>
    </w:rPr>
  </w:style>
  <w:style w:type="paragraph" w:customStyle="1" w:styleId="36">
    <w:name w:val="Proposal"/>
    <w:basedOn w:val="1"/>
    <w:qFormat/>
    <w:uiPriority w:val="0"/>
    <w:pPr>
      <w:numPr>
        <w:ilvl w:val="0"/>
        <w:numId w:val="2"/>
      </w:numPr>
      <w:snapToGrid w:val="0"/>
      <w:spacing w:before="30" w:beforeLines="30" w:after="30" w:afterLines="30" w:line="288" w:lineRule="auto"/>
      <w:ind w:firstLine="0"/>
      <w:jc w:val="both"/>
    </w:pPr>
    <w:rPr>
      <w:rFonts w:eastAsia="微软雅黑"/>
      <w:b/>
      <w:bCs/>
      <w:i/>
      <w:iCs/>
    </w:rPr>
  </w:style>
  <w:style w:type="character" w:customStyle="1" w:styleId="37">
    <w:name w:val="标题 1 字符"/>
    <w:link w:val="2"/>
    <w:qFormat/>
    <w:uiPriority w:val="99"/>
    <w:rPr>
      <w:rFonts w:ascii="Arial" w:hAnsi="Arial" w:eastAsia="黑体"/>
      <w:b/>
      <w:bCs/>
      <w:sz w:val="30"/>
      <w:szCs w:val="30"/>
      <w:lang w:val="zh-CN"/>
    </w:rPr>
  </w:style>
  <w:style w:type="character" w:customStyle="1" w:styleId="38">
    <w:name w:val="标题 3 字符"/>
    <w:qFormat/>
    <w:uiPriority w:val="9"/>
    <w:rPr>
      <w:b/>
      <w:bCs/>
      <w:sz w:val="32"/>
      <w:szCs w:val="32"/>
    </w:rPr>
  </w:style>
  <w:style w:type="character" w:customStyle="1" w:styleId="39">
    <w:name w:val="页眉 字符"/>
    <w:link w:val="19"/>
    <w:qFormat/>
    <w:uiPriority w:val="0"/>
    <w:rPr>
      <w:rFonts w:ascii="Arial" w:hAnsi="Arial" w:eastAsia="MS Mincho"/>
      <w:b/>
      <w:szCs w:val="24"/>
      <w:lang w:eastAsia="en-US"/>
    </w:rPr>
  </w:style>
  <w:style w:type="character" w:customStyle="1" w:styleId="40">
    <w:name w:val="批注主题 字符"/>
    <w:link w:val="23"/>
    <w:semiHidden/>
    <w:qFormat/>
    <w:uiPriority w:val="99"/>
    <w:rPr>
      <w:b/>
      <w:bCs/>
    </w:rPr>
  </w:style>
  <w:style w:type="character" w:customStyle="1" w:styleId="41">
    <w:name w:val="脚注文本 字符"/>
    <w:link w:val="21"/>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7"/>
    <w:qFormat/>
    <w:uiPriority w:val="0"/>
  </w:style>
  <w:style w:type="character" w:customStyle="1" w:styleId="48">
    <w:name w:val="题注 字符"/>
    <w:link w:val="12"/>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20"/>
    <w:link w:val="49"/>
    <w:qFormat/>
    <w:uiPriority w:val="0"/>
    <w:pPr>
      <w:spacing w:after="180" w:line="240" w:lineRule="auto"/>
      <w:ind w:left="568" w:hanging="284" w:firstLineChars="0"/>
    </w:pPr>
    <w:rPr>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Cs w:val="20"/>
      <w:lang w:val="en-GB" w:eastAsia="ko-KR"/>
    </w:rPr>
  </w:style>
  <w:style w:type="character" w:customStyle="1" w:styleId="53">
    <w:name w:val="批注文字 字符"/>
    <w:basedOn w:val="27"/>
    <w:link w:val="14"/>
    <w:qFormat/>
    <w:uiPriority w:val="0"/>
  </w:style>
  <w:style w:type="character" w:customStyle="1" w:styleId="54">
    <w:name w:val="正文文本 字符"/>
    <w:link w:val="15"/>
    <w:qFormat/>
    <w:uiPriority w:val="0"/>
    <w:rPr>
      <w:rFonts w:ascii="Times New Roman" w:hAnsi="Times New Roman"/>
      <w:color w:val="0000FF"/>
      <w:kern w:val="2"/>
      <w:sz w:val="21"/>
    </w:rPr>
  </w:style>
  <w:style w:type="character" w:customStyle="1" w:styleId="55">
    <w:name w:val="def"/>
    <w:basedOn w:val="27"/>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Cs w:val="20"/>
      <w:lang w:val="en-GB" w:eastAsia="ko-KR"/>
    </w:rPr>
  </w:style>
  <w:style w:type="character" w:customStyle="1" w:styleId="59">
    <w:name w:val="word"/>
    <w:basedOn w:val="27"/>
    <w:qFormat/>
    <w:uiPriority w:val="0"/>
  </w:style>
  <w:style w:type="character" w:customStyle="1" w:styleId="60">
    <w:name w:val="文档结构图 字符"/>
    <w:link w:val="13"/>
    <w:semiHidden/>
    <w:qFormat/>
    <w:uiPriority w:val="99"/>
    <w:rPr>
      <w:rFonts w:ascii="宋体"/>
      <w:sz w:val="18"/>
      <w:szCs w:val="18"/>
    </w:rPr>
  </w:style>
  <w:style w:type="character" w:customStyle="1" w:styleId="61">
    <w:name w:val="high-light"/>
    <w:basedOn w:val="27"/>
    <w:qFormat/>
    <w:uiPriority w:val="0"/>
  </w:style>
  <w:style w:type="character" w:customStyle="1" w:styleId="62">
    <w:name w:val="pos"/>
    <w:basedOn w:val="27"/>
    <w:qFormat/>
    <w:uiPriority w:val="0"/>
  </w:style>
  <w:style w:type="character" w:customStyle="1" w:styleId="63">
    <w:name w:val="apple-style-span"/>
    <w:basedOn w:val="27"/>
    <w:qFormat/>
    <w:uiPriority w:val="0"/>
  </w:style>
  <w:style w:type="character" w:customStyle="1" w:styleId="64">
    <w:name w:val="ZGSM"/>
    <w:qFormat/>
    <w:uiPriority w:val="0"/>
  </w:style>
  <w:style w:type="paragraph" w:customStyle="1" w:styleId="65">
    <w:name w:val="TAH"/>
    <w:basedOn w:val="45"/>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3"/>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4"/>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5"/>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5"/>
    <w:link w:val="93"/>
    <w:qFormat/>
    <w:uiPriority w:val="0"/>
    <w:rPr>
      <w:rFonts w:eastAsia="MS Mincho"/>
    </w:rPr>
  </w:style>
  <w:style w:type="paragraph" w:customStyle="1" w:styleId="84">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rFonts w:eastAsia="t"/>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8">
    <w:name w:val="占位符文本1"/>
    <w:basedOn w:val="27"/>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7"/>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7"/>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52"/>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03_Proposal"/>
    <w:basedOn w:val="110"/>
    <w:qFormat/>
    <w:uiPriority w:val="0"/>
    <w:rPr>
      <w:b/>
      <w:i w:val="0"/>
      <w:iCs w:val="0"/>
    </w:rPr>
  </w:style>
  <w:style w:type="paragraph" w:customStyle="1" w:styleId="110">
    <w:name w:val="04_Proposal1"/>
    <w:basedOn w:val="1"/>
    <w:qFormat/>
    <w:uiPriority w:val="0"/>
    <w:rPr>
      <w:bCs/>
      <w:i/>
      <w:iCs/>
    </w:rPr>
  </w:style>
  <w:style w:type="paragraph" w:customStyle="1" w:styleId="111">
    <w:name w:val="列出段落2"/>
    <w:basedOn w:val="1"/>
    <w:link w:val="112"/>
    <w:qFormat/>
    <w:uiPriority w:val="34"/>
    <w:pPr>
      <w:ind w:firstLine="420" w:firstLineChars="200"/>
    </w:pPr>
  </w:style>
  <w:style w:type="character" w:customStyle="1" w:styleId="112">
    <w:name w:val="List Paragraph Char"/>
    <w:basedOn w:val="27"/>
    <w:link w:val="111"/>
    <w:qFormat/>
    <w:locked/>
    <w:uiPriority w:val="34"/>
    <w:rPr>
      <w:rFonts w:eastAsia="t"/>
      <w:szCs w:val="22"/>
    </w:rPr>
  </w:style>
  <w:style w:type="paragraph" w:styleId="113">
    <w:name w:val="List Paragraph"/>
    <w:basedOn w:val="1"/>
    <w:link w:val="140"/>
    <w:qFormat/>
    <w:uiPriority w:val="34"/>
    <w:pPr>
      <w:ind w:firstLine="420" w:firstLineChars="200"/>
    </w:pPr>
  </w:style>
  <w:style w:type="paragraph" w:customStyle="1" w:styleId="114">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5">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6">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7">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8">
    <w:name w:val="msoins"/>
    <w:qFormat/>
    <w:uiPriority w:val="0"/>
  </w:style>
  <w:style w:type="paragraph" w:customStyle="1" w:styleId="119">
    <w:name w:val="Agreement"/>
    <w:basedOn w:val="1"/>
    <w:next w:val="120"/>
    <w:qFormat/>
    <w:uiPriority w:val="99"/>
    <w:pPr>
      <w:numPr>
        <w:ilvl w:val="0"/>
        <w:numId w:val="6"/>
      </w:numPr>
      <w:spacing w:before="60" w:after="0"/>
    </w:pPr>
    <w:rPr>
      <w:rFonts w:ascii="Arial" w:hAnsi="Arial"/>
      <w:b/>
      <w:szCs w:val="24"/>
      <w:lang w:eastAsia="en-GB"/>
    </w:rPr>
  </w:style>
  <w:style w:type="paragraph" w:customStyle="1" w:styleId="120">
    <w:name w:val="Doc-text2"/>
    <w:basedOn w:val="1"/>
    <w:qFormat/>
    <w:uiPriority w:val="0"/>
    <w:pPr>
      <w:tabs>
        <w:tab w:val="left" w:pos="1622"/>
      </w:tabs>
      <w:spacing w:after="0"/>
      <w:ind w:left="1622" w:hanging="363"/>
    </w:pPr>
    <w:rPr>
      <w:rFonts w:ascii="Arial" w:hAnsi="Arial"/>
      <w:szCs w:val="24"/>
      <w:lang w:eastAsia="en-GB"/>
    </w:rPr>
  </w:style>
  <w:style w:type="paragraph" w:customStyle="1" w:styleId="121">
    <w:name w:val="B2"/>
    <w:basedOn w:val="1"/>
    <w:link w:val="122"/>
    <w:qFormat/>
    <w:uiPriority w:val="0"/>
    <w:pPr>
      <w:spacing w:after="180" w:line="240" w:lineRule="auto"/>
      <w:ind w:left="851" w:hanging="284"/>
    </w:pPr>
    <w:rPr>
      <w:rFonts w:eastAsia="Times New Roman"/>
      <w:szCs w:val="20"/>
      <w:lang w:val="zh-CN" w:eastAsia="en-US"/>
    </w:rPr>
  </w:style>
  <w:style w:type="character" w:customStyle="1" w:styleId="122">
    <w:name w:val="B2 Char"/>
    <w:link w:val="121"/>
    <w:qFormat/>
    <w:uiPriority w:val="0"/>
    <w:rPr>
      <w:rFonts w:eastAsia="Times New Roman"/>
      <w:lang w:val="zh-CN" w:eastAsia="en-US"/>
    </w:rPr>
  </w:style>
  <w:style w:type="character" w:customStyle="1" w:styleId="123">
    <w:name w:val="x_xxapple-converted-space"/>
    <w:basedOn w:val="27"/>
    <w:qFormat/>
    <w:uiPriority w:val="0"/>
  </w:style>
  <w:style w:type="paragraph" w:customStyle="1" w:styleId="124">
    <w:name w:val="text intend 1"/>
    <w:basedOn w:val="90"/>
    <w:qFormat/>
    <w:uiPriority w:val="0"/>
    <w:pPr>
      <w:widowControl/>
      <w:numPr>
        <w:ilvl w:val="0"/>
        <w:numId w:val="7"/>
      </w:numPr>
      <w:spacing w:after="120"/>
    </w:pPr>
    <w:rPr>
      <w:rFonts w:eastAsia="MS Mincho"/>
      <w:lang w:val="en-US"/>
    </w:rPr>
  </w:style>
  <w:style w:type="paragraph" w:customStyle="1" w:styleId="125">
    <w:name w:val="x_xxmsonormal"/>
    <w:basedOn w:val="1"/>
    <w:qFormat/>
    <w:uiPriority w:val="99"/>
    <w:rPr>
      <w:rFonts w:eastAsia="Malgun Gothic"/>
      <w:sz w:val="24"/>
      <w:lang w:eastAsia="ko-KR"/>
    </w:rPr>
  </w:style>
  <w:style w:type="paragraph" w:customStyle="1" w:styleId="12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7">
    <w:name w:val="normaltextrun"/>
    <w:qFormat/>
    <w:uiPriority w:val="0"/>
  </w:style>
  <w:style w:type="paragraph" w:customStyle="1" w:styleId="128">
    <w:name w:val="列出段落3"/>
    <w:basedOn w:val="1"/>
    <w:link w:val="130"/>
    <w:qFormat/>
    <w:uiPriority w:val="0"/>
    <w:pPr>
      <w:spacing w:after="0"/>
      <w:ind w:left="840" w:leftChars="400" w:hanging="1440"/>
    </w:pPr>
    <w:rPr>
      <w:rFonts w:ascii="Times" w:hAnsi="Times" w:eastAsia="Batang"/>
      <w:szCs w:val="24"/>
    </w:rPr>
  </w:style>
  <w:style w:type="character" w:customStyle="1" w:styleId="129">
    <w:name w:val="题注 Char"/>
    <w:basedOn w:val="27"/>
    <w:qFormat/>
    <w:uiPriority w:val="0"/>
    <w:rPr>
      <w:b/>
    </w:rPr>
  </w:style>
  <w:style w:type="character" w:customStyle="1" w:styleId="130">
    <w:name w:val="列出段落 Char1"/>
    <w:basedOn w:val="27"/>
    <w:link w:val="128"/>
    <w:qFormat/>
    <w:uiPriority w:val="0"/>
    <w:rPr>
      <w:rFonts w:hint="default" w:ascii="Times" w:hAnsi="Times" w:eastAsia="Batang" w:cs="Times"/>
      <w:szCs w:val="24"/>
      <w:lang w:val="en-US"/>
    </w:rPr>
  </w:style>
  <w:style w:type="table" w:customStyle="1" w:styleId="131">
    <w:name w:val="网格型2"/>
    <w:basedOn w:val="24"/>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32">
    <w:name w:val="列出段落31"/>
    <w:basedOn w:val="1"/>
    <w:qFormat/>
    <w:uiPriority w:val="0"/>
    <w:pPr>
      <w:spacing w:after="0"/>
      <w:ind w:left="840" w:leftChars="400" w:hanging="1440"/>
    </w:pPr>
    <w:rPr>
      <w:rFonts w:ascii="Times" w:hAnsi="Times" w:eastAsia="Batang"/>
      <w:szCs w:val="24"/>
    </w:rPr>
  </w:style>
  <w:style w:type="paragraph" w:customStyle="1" w:styleId="133">
    <w:name w:val="Obervation"/>
    <w:basedOn w:val="1"/>
    <w:qFormat/>
    <w:uiPriority w:val="0"/>
    <w:pPr>
      <w:numPr>
        <w:ilvl w:val="0"/>
        <w:numId w:val="8"/>
      </w:numPr>
      <w:snapToGrid w:val="0"/>
      <w:spacing w:before="30" w:beforeLines="30" w:after="30" w:afterLines="30" w:line="288" w:lineRule="auto"/>
      <w:ind w:firstLine="0"/>
      <w:jc w:val="both"/>
    </w:pPr>
    <w:rPr>
      <w:rFonts w:eastAsia="微软雅黑"/>
      <w:b/>
      <w:bCs/>
      <w:i/>
      <w:iCs/>
    </w:rPr>
  </w:style>
  <w:style w:type="paragraph" w:customStyle="1" w:styleId="134">
    <w:name w:val="msolistparagraph"/>
    <w:basedOn w:val="1"/>
    <w:qFormat/>
    <w:uiPriority w:val="0"/>
    <w:pPr>
      <w:widowControl w:val="0"/>
      <w:spacing w:after="0"/>
      <w:ind w:left="840" w:leftChars="400"/>
      <w:jc w:val="both"/>
    </w:pPr>
    <w:rPr>
      <w:rFonts w:ascii="Times" w:hAnsi="Times" w:eastAsia="Batang"/>
      <w:kern w:val="2"/>
      <w:sz w:val="21"/>
      <w:szCs w:val="24"/>
    </w:rPr>
  </w:style>
  <w:style w:type="character" w:customStyle="1" w:styleId="135">
    <w:name w:val="标题 3 字符1"/>
    <w:basedOn w:val="27"/>
    <w:link w:val="4"/>
    <w:qFormat/>
    <w:uiPriority w:val="9"/>
    <w:rPr>
      <w:rFonts w:ascii="Arial" w:hAnsi="Arial" w:eastAsia="黑体"/>
      <w:b/>
      <w:bCs/>
      <w:sz w:val="32"/>
      <w:szCs w:val="32"/>
      <w:lang w:val="zh-CN"/>
    </w:rPr>
  </w:style>
  <w:style w:type="character" w:customStyle="1" w:styleId="136">
    <w:name w:val="标题 2 字符"/>
    <w:basedOn w:val="27"/>
    <w:link w:val="3"/>
    <w:qFormat/>
    <w:uiPriority w:val="0"/>
    <w:rPr>
      <w:rFonts w:ascii="Arial" w:hAnsi="Arial" w:eastAsia="黑体"/>
      <w:b/>
      <w:bCs/>
      <w:sz w:val="32"/>
      <w:szCs w:val="30"/>
      <w:lang w:val="zh-CN"/>
    </w:rPr>
  </w:style>
  <w:style w:type="paragraph" w:customStyle="1" w:styleId="137">
    <w:name w:val="修订2"/>
    <w:hidden/>
    <w:semiHidden/>
    <w:qFormat/>
    <w:uiPriority w:val="99"/>
    <w:rPr>
      <w:rFonts w:ascii="Times New Roman" w:hAnsi="Times New Roman" w:eastAsia="t" w:cs="Times New Roman"/>
      <w:szCs w:val="22"/>
      <w:lang w:val="en-US" w:eastAsia="zh-CN" w:bidi="ar-SA"/>
    </w:rPr>
  </w:style>
  <w:style w:type="character" w:customStyle="1" w:styleId="138">
    <w:name w:val="题注 字符3"/>
    <w:qFormat/>
    <w:locked/>
    <w:uiPriority w:val="0"/>
    <w:rPr>
      <w:rFonts w:asciiTheme="minorHAnsi" w:hAnsiTheme="minorHAnsi" w:eastAsiaTheme="minorEastAsia" w:cstheme="minorBidi"/>
      <w:b/>
      <w:bCs/>
      <w:kern w:val="2"/>
      <w:sz w:val="22"/>
      <w:szCs w:val="22"/>
      <w14:ligatures w14:val="standardContextual"/>
    </w:rPr>
  </w:style>
  <w:style w:type="character" w:styleId="139">
    <w:name w:val="Placeholder Text"/>
    <w:basedOn w:val="27"/>
    <w:semiHidden/>
    <w:qFormat/>
    <w:uiPriority w:val="99"/>
    <w:rPr>
      <w:color w:val="808080"/>
    </w:rPr>
  </w:style>
  <w:style w:type="character" w:customStyle="1" w:styleId="140">
    <w:name w:val="列表段落 字符"/>
    <w:link w:val="113"/>
    <w:qFormat/>
    <w:locked/>
    <w:uiPriority w:val="34"/>
    <w:rPr>
      <w:rFonts w:eastAsia="t"/>
      <w:szCs w:val="22"/>
    </w:rPr>
  </w:style>
  <w:style w:type="paragraph" w:customStyle="1" w:styleId="141">
    <w:name w:val="3GPP Text"/>
    <w:basedOn w:val="1"/>
    <w:link w:val="142"/>
    <w:qFormat/>
    <w:uiPriority w:val="0"/>
    <w:pPr>
      <w:overflowPunct w:val="0"/>
      <w:autoSpaceDE w:val="0"/>
      <w:autoSpaceDN w:val="0"/>
      <w:adjustRightInd w:val="0"/>
      <w:spacing w:before="120" w:after="120" w:line="240" w:lineRule="auto"/>
      <w:jc w:val="both"/>
      <w:textAlignment w:val="baseline"/>
    </w:pPr>
    <w:rPr>
      <w:rFonts w:eastAsia="宋体"/>
      <w:sz w:val="22"/>
      <w:szCs w:val="20"/>
      <w:lang w:eastAsia="en-US"/>
    </w:rPr>
  </w:style>
  <w:style w:type="character" w:customStyle="1" w:styleId="142">
    <w:name w:val="3GPP Text Char"/>
    <w:link w:val="141"/>
    <w:qFormat/>
    <w:uiPriority w:val="0"/>
    <w:rPr>
      <w:sz w:val="22"/>
      <w:lang w:eastAsia="en-US"/>
    </w:rPr>
  </w:style>
  <w:style w:type="character" w:customStyle="1" w:styleId="143">
    <w:name w:val="列表段落 字符1"/>
    <w:qFormat/>
    <w:locked/>
    <w:uiPriority w:val="34"/>
    <w:rPr>
      <w:rFonts w:eastAsia="Calibri"/>
      <w:szCs w:val="22"/>
      <w:lang w:val="en-GB" w:eastAsia="en-US"/>
    </w:rPr>
  </w:style>
  <w:style w:type="paragraph" w:customStyle="1" w:styleId="144">
    <w:name w:val="NW"/>
    <w:basedOn w:val="1"/>
    <w:qFormat/>
    <w:uiPriority w:val="0"/>
    <w:pPr>
      <w:keepLines/>
      <w:overflowPunct w:val="0"/>
      <w:autoSpaceDE w:val="0"/>
      <w:autoSpaceDN w:val="0"/>
      <w:adjustRightInd w:val="0"/>
      <w:spacing w:after="0" w:line="240" w:lineRule="auto"/>
      <w:ind w:left="1135" w:hanging="851"/>
      <w:jc w:val="both"/>
      <w:textAlignment w:val="baseline"/>
    </w:pPr>
    <w:rPr>
      <w:rFonts w:eastAsia="宋体"/>
      <w:szCs w:val="20"/>
      <w:lang w:eastAsia="en-US"/>
    </w:rPr>
  </w:style>
  <w:style w:type="paragraph" w:customStyle="1" w:styleId="145">
    <w:name w:val="B3"/>
    <w:basedOn w:val="1"/>
    <w:qFormat/>
    <w:uiPriority w:val="0"/>
    <w:pPr>
      <w:spacing w:after="180" w:line="240" w:lineRule="auto"/>
      <w:ind w:left="1135" w:hanging="284"/>
    </w:pPr>
    <w:rPr>
      <w:rFonts w:eastAsia="MS Mincho"/>
      <w:szCs w:val="20"/>
      <w:lang w:val="en-GB" w:eastAsia="en-US"/>
    </w:rPr>
  </w:style>
  <w:style w:type="paragraph" w:customStyle="1" w:styleId="146">
    <w:name w:val="B4"/>
    <w:basedOn w:val="1"/>
    <w:qFormat/>
    <w:uiPriority w:val="0"/>
    <w:pPr>
      <w:spacing w:after="180" w:line="240" w:lineRule="auto"/>
      <w:ind w:left="1418" w:hanging="284"/>
    </w:pPr>
    <w:rPr>
      <w:rFonts w:eastAsia="MS Mincho"/>
      <w:szCs w:val="20"/>
      <w:lang w:val="en-GB" w:eastAsia="en-US"/>
    </w:rPr>
  </w:style>
  <w:style w:type="paragraph" w:customStyle="1" w:styleId="147">
    <w:name w:val="!ZTE-Proposal-2021 + 段前: 0.5 行 段后: 0.5 行"/>
    <w:basedOn w:val="1"/>
    <w:qFormat/>
    <w:uiPriority w:val="0"/>
    <w:pPr>
      <w:numPr>
        <w:ilvl w:val="0"/>
        <w:numId w:val="9"/>
      </w:numPr>
      <w:spacing w:before="30" w:beforeLines="30" w:after="30" w:afterLines="30" w:line="288" w:lineRule="auto"/>
    </w:pPr>
    <w:rPr>
      <w:rFonts w:cs="宋体" w:eastAsiaTheme="minorEastAsia"/>
      <w:b/>
      <w:bCs/>
      <w:i/>
      <w:iCs/>
      <w:lang w:val="en-GB"/>
    </w:rPr>
  </w:style>
  <w:style w:type="paragraph" w:customStyle="1" w:styleId="148">
    <w:name w:val="table"/>
    <w:basedOn w:val="90"/>
    <w:next w:val="90"/>
    <w:qFormat/>
    <w:uiPriority w:val="0"/>
    <w:pPr>
      <w:widowControl/>
      <w:spacing w:after="0"/>
      <w:jc w:val="center"/>
    </w:pPr>
    <w:rPr>
      <w:rFonts w:eastAsia="宋体"/>
      <w:sz w:val="20"/>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D9256-2610-435C-9D81-D78DB01A072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46</Pages>
  <Words>20159</Words>
  <Characters>114911</Characters>
  <Lines>957</Lines>
  <Paragraphs>269</Paragraphs>
  <TotalTime>5</TotalTime>
  <ScaleCrop>false</ScaleCrop>
  <LinksUpToDate>false</LinksUpToDate>
  <CharactersWithSpaces>134801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2024-05-10T11:38:00Z</dcterms:created>
  <dc:creator>ZTE</dc:creator>
  <cp:lastModifiedBy>10303991</cp:lastModifiedBy>
  <dcterms:modified xsi:type="dcterms:W3CDTF">2025-05-09T09:35:45Z</dcterms:modified>
  <dc:title>3GPP TSG-RAN WG1</dc:title>
  <cp:revision>400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